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DF" w:rsidRDefault="00660093">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内蒙古师范大学</w:t>
      </w:r>
      <w:r>
        <w:rPr>
          <w:rFonts w:asciiTheme="majorEastAsia" w:eastAsiaTheme="majorEastAsia" w:hAnsiTheme="majorEastAsia" w:hint="eastAsia"/>
          <w:b/>
          <w:sz w:val="36"/>
          <w:szCs w:val="36"/>
        </w:rPr>
        <w:t>201</w:t>
      </w:r>
      <w:r>
        <w:rPr>
          <w:rFonts w:asciiTheme="majorEastAsia" w:eastAsiaTheme="majorEastAsia" w:hAnsiTheme="majorEastAsia" w:hint="eastAsia"/>
          <w:b/>
          <w:sz w:val="36"/>
          <w:szCs w:val="36"/>
        </w:rPr>
        <w:t>9</w:t>
      </w:r>
      <w:r>
        <w:rPr>
          <w:rFonts w:asciiTheme="majorEastAsia" w:eastAsiaTheme="majorEastAsia" w:hAnsiTheme="majorEastAsia" w:hint="eastAsia"/>
          <w:b/>
          <w:sz w:val="36"/>
          <w:szCs w:val="36"/>
        </w:rPr>
        <w:t>年部门预算公开报告</w:t>
      </w:r>
    </w:p>
    <w:p w:rsidR="005450DF" w:rsidRDefault="00660093">
      <w:pPr>
        <w:spacing w:line="336" w:lineRule="auto"/>
        <w:jc w:val="center"/>
        <w:rPr>
          <w:rFonts w:ascii="楷体_GB2312" w:eastAsia="楷体_GB2312"/>
          <w:sz w:val="32"/>
          <w:szCs w:val="32"/>
        </w:rPr>
      </w:pPr>
      <w:r>
        <w:rPr>
          <w:rFonts w:ascii="楷体_GB2312" w:eastAsia="楷体_GB2312" w:hint="eastAsia"/>
          <w:sz w:val="32"/>
          <w:szCs w:val="32"/>
        </w:rPr>
        <w:t>二</w:t>
      </w:r>
      <w:r>
        <w:rPr>
          <w:rFonts w:ascii="宋体" w:hAnsi="宋体" w:cs="宋体" w:hint="eastAsia"/>
          <w:sz w:val="32"/>
          <w:szCs w:val="32"/>
        </w:rPr>
        <w:t>〇</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九</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日</w:t>
      </w:r>
    </w:p>
    <w:p w:rsidR="005450DF" w:rsidRDefault="00660093">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t>目</w:t>
      </w:r>
      <w:r>
        <w:rPr>
          <w:rFonts w:ascii="楷体_GB2312" w:eastAsia="楷体_GB2312" w:hAnsi="宋体" w:hint="eastAsia"/>
          <w:b/>
          <w:color w:val="000000"/>
          <w:sz w:val="36"/>
          <w:szCs w:val="36"/>
        </w:rPr>
        <w:t xml:space="preserve">  </w:t>
      </w:r>
      <w:r>
        <w:rPr>
          <w:rFonts w:ascii="楷体_GB2312" w:eastAsia="楷体_GB2312" w:hAnsi="宋体" w:hint="eastAsia"/>
          <w:b/>
          <w:color w:val="000000"/>
          <w:sz w:val="36"/>
          <w:szCs w:val="36"/>
        </w:rPr>
        <w:t>录</w:t>
      </w:r>
    </w:p>
    <w:p w:rsidR="005450DF" w:rsidRDefault="00660093">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w:t>
      </w:r>
      <w:r>
        <w:rPr>
          <w:rFonts w:ascii="楷体_GB2312" w:eastAsia="楷体_GB2312" w:hAnsi="宋体" w:hint="eastAsia"/>
          <w:b/>
          <w:color w:val="000000"/>
          <w:sz w:val="32"/>
          <w:szCs w:val="32"/>
        </w:rPr>
        <w:t xml:space="preserve">  </w:t>
      </w:r>
      <w:r>
        <w:rPr>
          <w:rFonts w:ascii="楷体_GB2312" w:eastAsia="楷体_GB2312" w:hAnsi="宋体" w:hint="eastAsia"/>
          <w:b/>
          <w:color w:val="000000"/>
          <w:sz w:val="32"/>
          <w:szCs w:val="32"/>
        </w:rPr>
        <w:t>部门概况</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一、主要职能、职责</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5450DF" w:rsidRDefault="00660093">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Pr>
          <w:rFonts w:ascii="楷体_GB2312" w:eastAsia="楷体_GB2312" w:hAnsi="黑体" w:hint="eastAsia"/>
          <w:b/>
          <w:color w:val="000000"/>
          <w:sz w:val="32"/>
          <w:szCs w:val="32"/>
        </w:rPr>
        <w:t xml:space="preserve">  201</w:t>
      </w:r>
      <w:r>
        <w:rPr>
          <w:rFonts w:ascii="楷体_GB2312" w:eastAsia="楷体_GB2312" w:hAnsi="黑体" w:hint="eastAsia"/>
          <w:b/>
          <w:color w:val="000000"/>
          <w:sz w:val="32"/>
          <w:szCs w:val="32"/>
        </w:rPr>
        <w:t>9</w:t>
      </w:r>
      <w:r>
        <w:rPr>
          <w:rFonts w:ascii="楷体_GB2312" w:eastAsia="楷体_GB2312" w:hAnsi="黑体" w:hint="eastAsia"/>
          <w:b/>
          <w:color w:val="000000"/>
          <w:sz w:val="32"/>
          <w:szCs w:val="32"/>
        </w:rPr>
        <w:t>年部门预算安排情况说明</w:t>
      </w:r>
    </w:p>
    <w:p w:rsidR="005450DF" w:rsidRDefault="00660093">
      <w:pPr>
        <w:numPr>
          <w:ilvl w:val="0"/>
          <w:numId w:val="1"/>
        </w:numPr>
        <w:adjustRightInd w:val="0"/>
        <w:snapToGrid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内蒙古师范大学本级部门预算情况</w:t>
      </w:r>
    </w:p>
    <w:p w:rsidR="005450DF" w:rsidRDefault="00660093">
      <w:pPr>
        <w:adjustRightInd w:val="0"/>
        <w:snapToGrid w:val="0"/>
        <w:spacing w:line="560" w:lineRule="exact"/>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Pr>
          <w:rFonts w:ascii="楷体_GB2312" w:eastAsia="楷体_GB2312" w:hAnsi="黑体" w:hint="eastAsia"/>
          <w:color w:val="000000"/>
          <w:sz w:val="32"/>
          <w:szCs w:val="32"/>
        </w:rPr>
        <w:t>二</w:t>
      </w:r>
      <w:r>
        <w:rPr>
          <w:rFonts w:ascii="楷体_GB2312" w:eastAsia="楷体_GB2312" w:hAnsi="黑体" w:hint="eastAsia"/>
          <w:color w:val="000000"/>
          <w:sz w:val="32"/>
          <w:szCs w:val="32"/>
        </w:rPr>
        <w:t>、政府性基金预算财政拨款支出情况说明</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w:t>
      </w:r>
      <w:r>
        <w:rPr>
          <w:rFonts w:ascii="楷体_GB2312" w:eastAsia="楷体_GB2312" w:hAnsi="黑体" w:hint="eastAsia"/>
          <w:color w:val="000000"/>
          <w:sz w:val="32"/>
          <w:szCs w:val="32"/>
        </w:rPr>
        <w:t>、财政拨款“三公”经费预算情况说明</w:t>
      </w:r>
    </w:p>
    <w:p w:rsidR="005450DF" w:rsidRDefault="0066009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w:t>
      </w:r>
      <w:r>
        <w:rPr>
          <w:rFonts w:ascii="楷体_GB2312" w:eastAsia="楷体_GB2312" w:hAnsi="黑体" w:hint="eastAsia"/>
          <w:b/>
          <w:color w:val="000000"/>
          <w:sz w:val="32"/>
          <w:szCs w:val="32"/>
        </w:rPr>
        <w:t xml:space="preserve">  </w:t>
      </w:r>
      <w:r>
        <w:rPr>
          <w:rFonts w:ascii="楷体_GB2312" w:eastAsia="楷体_GB2312" w:hAnsi="黑体" w:hint="eastAsia"/>
          <w:b/>
          <w:color w:val="000000"/>
          <w:sz w:val="32"/>
          <w:szCs w:val="32"/>
        </w:rPr>
        <w:t>其他公开事项说明</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一、政府采购预算情况说明</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二、国有资产占有使用情况说明</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三、绩效目标设置情况说明</w:t>
      </w:r>
    </w:p>
    <w:p w:rsidR="005450DF" w:rsidRDefault="0066009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w:t>
      </w:r>
      <w:r>
        <w:rPr>
          <w:rFonts w:ascii="楷体_GB2312" w:eastAsia="楷体_GB2312" w:hAnsi="黑体" w:hint="eastAsia"/>
          <w:b/>
          <w:color w:val="000000"/>
          <w:sz w:val="32"/>
          <w:szCs w:val="32"/>
        </w:rPr>
        <w:t xml:space="preserve">  </w:t>
      </w:r>
      <w:r>
        <w:rPr>
          <w:rFonts w:ascii="楷体_GB2312" w:eastAsia="楷体_GB2312" w:hAnsi="黑体" w:hint="eastAsia"/>
          <w:b/>
          <w:color w:val="000000"/>
          <w:sz w:val="32"/>
          <w:szCs w:val="32"/>
        </w:rPr>
        <w:t>名词解释</w:t>
      </w:r>
    </w:p>
    <w:p w:rsidR="005450DF" w:rsidRDefault="0066009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w:t>
      </w:r>
      <w:r>
        <w:rPr>
          <w:rFonts w:ascii="楷体_GB2312" w:eastAsia="楷体_GB2312" w:hAnsi="黑体" w:hint="eastAsia"/>
          <w:b/>
          <w:color w:val="000000"/>
          <w:sz w:val="32"/>
          <w:szCs w:val="32"/>
        </w:rPr>
        <w:t xml:space="preserve">  201</w:t>
      </w:r>
      <w:r>
        <w:rPr>
          <w:rFonts w:ascii="楷体_GB2312" w:eastAsia="楷体_GB2312" w:hAnsi="黑体" w:hint="eastAsia"/>
          <w:b/>
          <w:color w:val="000000"/>
          <w:sz w:val="32"/>
          <w:szCs w:val="32"/>
        </w:rPr>
        <w:t>9</w:t>
      </w:r>
      <w:r>
        <w:rPr>
          <w:rFonts w:ascii="楷体_GB2312" w:eastAsia="楷体_GB2312" w:hAnsi="黑体" w:hint="eastAsia"/>
          <w:b/>
          <w:color w:val="000000"/>
          <w:sz w:val="32"/>
          <w:szCs w:val="32"/>
        </w:rPr>
        <w:t>年部门预算公开表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一、财政拨款收支预算总表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七、政府性基金预算财政拨款支出预算表</w:t>
      </w:r>
    </w:p>
    <w:p w:rsidR="005450DF" w:rsidRDefault="0066009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八、财政拨款“三公”经费支出预算表</w:t>
      </w:r>
    </w:p>
    <w:p w:rsidR="005450DF" w:rsidRDefault="00660093">
      <w:pPr>
        <w:spacing w:line="560" w:lineRule="exact"/>
        <w:jc w:val="center"/>
        <w:rPr>
          <w:rFonts w:ascii="楷体_GB2312" w:eastAsia="楷体_GB2312"/>
          <w:b/>
          <w:sz w:val="36"/>
          <w:szCs w:val="36"/>
        </w:rPr>
      </w:pPr>
      <w:r>
        <w:rPr>
          <w:rFonts w:ascii="楷体_GB2312" w:eastAsia="楷体_GB2312" w:hAnsi="宋体" w:cs="宋体" w:hint="eastAsia"/>
          <w:b/>
          <w:bCs/>
          <w:color w:val="000000"/>
          <w:kern w:val="0"/>
          <w:sz w:val="28"/>
          <w:szCs w:val="28"/>
        </w:rPr>
        <w:br w:type="page"/>
      </w:r>
      <w:r>
        <w:rPr>
          <w:rFonts w:ascii="楷体_GB2312" w:eastAsia="楷体_GB2312" w:hint="eastAsia"/>
          <w:b/>
          <w:sz w:val="36"/>
          <w:szCs w:val="36"/>
        </w:rPr>
        <w:lastRenderedPageBreak/>
        <w:t>第一部分</w:t>
      </w:r>
      <w:r>
        <w:rPr>
          <w:rFonts w:ascii="楷体_GB2312" w:eastAsia="楷体_GB2312" w:hint="eastAsia"/>
          <w:b/>
          <w:sz w:val="36"/>
          <w:szCs w:val="36"/>
        </w:rPr>
        <w:t xml:space="preserve">  </w:t>
      </w:r>
      <w:r>
        <w:rPr>
          <w:rFonts w:ascii="楷体_GB2312" w:eastAsia="楷体_GB2312" w:hint="eastAsia"/>
          <w:b/>
          <w:sz w:val="36"/>
          <w:szCs w:val="36"/>
        </w:rPr>
        <w:t>部门概况</w:t>
      </w:r>
    </w:p>
    <w:p w:rsidR="005450DF" w:rsidRDefault="005450DF">
      <w:pPr>
        <w:snapToGrid w:val="0"/>
        <w:spacing w:line="560" w:lineRule="exact"/>
        <w:ind w:firstLineChars="200" w:firstLine="643"/>
        <w:jc w:val="center"/>
        <w:rPr>
          <w:rFonts w:eastAsia="仿宋_GB2312"/>
          <w:b/>
          <w:sz w:val="32"/>
          <w:szCs w:val="32"/>
        </w:rPr>
      </w:pPr>
    </w:p>
    <w:p w:rsidR="005450DF" w:rsidRDefault="00660093">
      <w:pPr>
        <w:snapToGrid w:val="0"/>
        <w:spacing w:line="560" w:lineRule="exact"/>
        <w:ind w:firstLine="640"/>
        <w:rPr>
          <w:rFonts w:ascii="黑体" w:eastAsia="黑体" w:hAnsi="黑体"/>
          <w:sz w:val="32"/>
          <w:szCs w:val="32"/>
        </w:rPr>
      </w:pPr>
      <w:r>
        <w:rPr>
          <w:rFonts w:ascii="黑体" w:eastAsia="黑体" w:hAnsi="黑体" w:hint="eastAsia"/>
          <w:sz w:val="32"/>
          <w:szCs w:val="32"/>
        </w:rPr>
        <w:t>一、主要职能</w:t>
      </w:r>
    </w:p>
    <w:p w:rsidR="005450DF" w:rsidRDefault="00660093">
      <w:pPr>
        <w:snapToGrid w:val="0"/>
        <w:spacing w:line="560" w:lineRule="exact"/>
        <w:ind w:firstLine="640"/>
        <w:rPr>
          <w:rFonts w:ascii="楷体_GB2312" w:eastAsia="楷体_GB2312"/>
          <w:sz w:val="32"/>
          <w:szCs w:val="32"/>
        </w:rPr>
      </w:pPr>
      <w:r>
        <w:rPr>
          <w:rFonts w:ascii="楷体_GB2312" w:eastAsia="楷体_GB2312" w:hint="eastAsia"/>
          <w:sz w:val="32"/>
          <w:szCs w:val="32"/>
        </w:rPr>
        <w:t>（一）部门职能</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bCs/>
          <w:kern w:val="0"/>
          <w:sz w:val="32"/>
          <w:szCs w:val="32"/>
        </w:rPr>
        <w:t>内蒙古师范大学</w:t>
      </w:r>
      <w:r>
        <w:rPr>
          <w:rFonts w:ascii="仿宋" w:eastAsia="仿宋" w:hAnsi="仿宋" w:cs="宋体" w:hint="eastAsia"/>
          <w:kern w:val="0"/>
          <w:sz w:val="32"/>
          <w:szCs w:val="32"/>
        </w:rPr>
        <w:t>是非营利性高等教育事业单位法人，由内蒙古自治区人民政府举办，主管部门是内蒙古自治区教育厅。</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（二）部门主要职责</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1. </w:t>
      </w:r>
      <w:r>
        <w:rPr>
          <w:rFonts w:ascii="仿宋" w:eastAsia="仿宋" w:hAnsi="仿宋" w:cs="宋体" w:hint="eastAsia"/>
          <w:kern w:val="0"/>
          <w:sz w:val="32"/>
          <w:szCs w:val="32"/>
        </w:rPr>
        <w:t>以人才培养为中心，开展教育教学、科学研究、社会服务，推进文化传承和创新。</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Pr>
          <w:rFonts w:ascii="仿宋" w:eastAsia="仿宋" w:hAnsi="仿宋" w:cs="宋体" w:hint="eastAsia"/>
          <w:kern w:val="0"/>
          <w:sz w:val="32"/>
          <w:szCs w:val="32"/>
        </w:rPr>
        <w:t>遵守国家法律、法规；遵守学校章程；依据国家法律法规及学校章程管理学校内部事务；完善学校内部监督体制和机制，实施校务公开，实施民主管理；维护受教育者、教职工的合法权益；依法接受举办者的监督和指导。</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3. </w:t>
      </w:r>
      <w:r>
        <w:rPr>
          <w:rFonts w:ascii="仿宋" w:eastAsia="仿宋" w:hAnsi="仿宋" w:cs="宋体" w:hint="eastAsia"/>
          <w:kern w:val="0"/>
          <w:sz w:val="32"/>
          <w:szCs w:val="32"/>
        </w:rPr>
        <w:t>科学制定学校事业发展规划。</w:t>
      </w:r>
    </w:p>
    <w:p w:rsidR="005450DF" w:rsidRDefault="00660093">
      <w:pPr>
        <w:spacing w:line="560" w:lineRule="exact"/>
        <w:ind w:firstLineChars="150"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4. </w:t>
      </w:r>
      <w:r>
        <w:rPr>
          <w:rFonts w:ascii="仿宋" w:eastAsia="仿宋" w:hAnsi="仿宋" w:cs="宋体" w:hint="eastAsia"/>
          <w:kern w:val="0"/>
          <w:sz w:val="32"/>
          <w:szCs w:val="32"/>
        </w:rPr>
        <w:t>贯彻党和国家的教育方针和民族政策，执行国家的教育教学标准，保证教育教学质量。学校的高等教育包括学历教育和非学历教育，采用全日制和非全日制两种教育形式。主要教育形式为全日制学历教育，同时开展继续教</w:t>
      </w:r>
      <w:r>
        <w:rPr>
          <w:rFonts w:ascii="仿宋" w:eastAsia="仿宋" w:hAnsi="仿宋" w:cs="宋体" w:hint="eastAsia"/>
          <w:kern w:val="0"/>
          <w:sz w:val="32"/>
          <w:szCs w:val="32"/>
        </w:rPr>
        <w:t>育、外国留学生教育、中外合作教育等适应社会发展需要的其他类型教育。学校根据国家和内蒙古自治区经济社会发展需要及学校办学条件，调整学科专业设置，保持适度的办学规模。</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5. </w:t>
      </w:r>
      <w:r>
        <w:rPr>
          <w:rFonts w:ascii="仿宋" w:eastAsia="仿宋" w:hAnsi="仿宋" w:cs="宋体" w:hint="eastAsia"/>
          <w:kern w:val="0"/>
          <w:sz w:val="32"/>
          <w:szCs w:val="32"/>
        </w:rPr>
        <w:t>根据人才培养需要，开展人才培养活动，科学制定人才培养方案、选编教材和组织实施教育教学活动；对学生进行学籍管理，实施奖励或者处分，对受教育者颁发相应的</w:t>
      </w:r>
      <w:r>
        <w:rPr>
          <w:rFonts w:ascii="仿宋" w:eastAsia="仿宋" w:hAnsi="仿宋" w:cs="宋体" w:hint="eastAsia"/>
          <w:kern w:val="0"/>
          <w:sz w:val="32"/>
          <w:szCs w:val="32"/>
        </w:rPr>
        <w:lastRenderedPageBreak/>
        <w:t>学历证书与学位证书；以适当的方式为受教育者了解学业成绩及其他有关情况提供便利。</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6. </w:t>
      </w:r>
      <w:r>
        <w:rPr>
          <w:rFonts w:ascii="仿宋" w:eastAsia="仿宋" w:hAnsi="仿宋" w:cs="宋体" w:hint="eastAsia"/>
          <w:kern w:val="0"/>
          <w:sz w:val="32"/>
          <w:szCs w:val="32"/>
        </w:rPr>
        <w:t>积极开展基础研究和应用研究，促进知识创新和技术创新，推动学科建设，提高人才培养质量。</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7. </w:t>
      </w:r>
      <w:r>
        <w:rPr>
          <w:rFonts w:ascii="仿宋" w:eastAsia="仿宋" w:hAnsi="仿宋" w:cs="宋体" w:hint="eastAsia"/>
          <w:kern w:val="0"/>
          <w:sz w:val="32"/>
          <w:szCs w:val="32"/>
        </w:rPr>
        <w:t>主动服务国家和内</w:t>
      </w:r>
      <w:r>
        <w:rPr>
          <w:rFonts w:ascii="仿宋" w:eastAsia="仿宋" w:hAnsi="仿宋" w:cs="宋体" w:hint="eastAsia"/>
          <w:kern w:val="0"/>
          <w:sz w:val="32"/>
          <w:szCs w:val="32"/>
        </w:rPr>
        <w:t>蒙古自治区经济、社会、文化发展，大力开展民族文化建设、科技推广服务和决策咨询服务，努力成为高质量成果转化、高层次咨询服务和高水平社会服务的重要基地。通过服务社会，为学校事业发展拓展新空间，赋予新活力。</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8. </w:t>
      </w:r>
      <w:r>
        <w:rPr>
          <w:rFonts w:ascii="仿宋" w:eastAsia="仿宋" w:hAnsi="仿宋" w:cs="宋体" w:hint="eastAsia"/>
          <w:kern w:val="0"/>
          <w:sz w:val="32"/>
          <w:szCs w:val="32"/>
        </w:rPr>
        <w:t>学校本着开门、开明、开放的理念，积极开展国际国内学术和教育合作，引进国内外优质教育资源，与国内外大学和科研机构开展深层次的学术交流与合作。</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9. </w:t>
      </w:r>
      <w:r>
        <w:rPr>
          <w:rFonts w:ascii="仿宋" w:eastAsia="仿宋" w:hAnsi="仿宋" w:cs="宋体" w:hint="eastAsia"/>
          <w:kern w:val="0"/>
          <w:sz w:val="32"/>
          <w:szCs w:val="32"/>
        </w:rPr>
        <w:t>按照国家和内蒙古自治区的有关规定，评聘教师的专业技术职务，调整教职工的津贴及工资分配；执行国家和内蒙古自治区的人事分配政策，保障教职工收入合理增长；依法实施对</w:t>
      </w:r>
      <w:r>
        <w:rPr>
          <w:rFonts w:ascii="仿宋" w:eastAsia="仿宋" w:hAnsi="仿宋" w:cs="宋体" w:hint="eastAsia"/>
          <w:kern w:val="0"/>
          <w:sz w:val="32"/>
          <w:szCs w:val="32"/>
        </w:rPr>
        <w:t>教职工的奖励或者处分。</w:t>
      </w:r>
    </w:p>
    <w:p w:rsidR="005450DF" w:rsidRDefault="00660093">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10. </w:t>
      </w:r>
      <w:r>
        <w:rPr>
          <w:rFonts w:ascii="仿宋" w:eastAsia="仿宋" w:hAnsi="仿宋" w:cs="宋体" w:hint="eastAsia"/>
          <w:kern w:val="0"/>
          <w:sz w:val="32"/>
          <w:szCs w:val="32"/>
        </w:rPr>
        <w:t>对国家提供的财产、财政性资助、捐赠财产依法自主管理和使用；遵守国家收费规定，依法收取学费及有关费用；公开收费项目和标准。</w:t>
      </w:r>
    </w:p>
    <w:p w:rsidR="005450DF" w:rsidRDefault="00660093">
      <w:pPr>
        <w:widowControl/>
        <w:shd w:val="clear" w:color="auto" w:fill="FFFFFF"/>
        <w:snapToGrid w:val="0"/>
        <w:spacing w:line="56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二、机构设置及部门预算单位构成</w:t>
      </w:r>
    </w:p>
    <w:p w:rsidR="005450DF" w:rsidRDefault="00660093">
      <w:pPr>
        <w:snapToGrid w:val="0"/>
        <w:spacing w:line="560" w:lineRule="exact"/>
        <w:ind w:firstLine="640"/>
        <w:rPr>
          <w:rFonts w:ascii="仿宋" w:eastAsia="仿宋" w:hAnsi="仿宋"/>
          <w:sz w:val="32"/>
          <w:szCs w:val="32"/>
        </w:rPr>
      </w:pPr>
      <w:r>
        <w:rPr>
          <w:rFonts w:ascii="仿宋" w:eastAsia="仿宋" w:hAnsi="仿宋" w:hint="eastAsia"/>
          <w:sz w:val="32"/>
          <w:szCs w:val="32"/>
        </w:rPr>
        <w:t>从预算单位构成看，</w:t>
      </w:r>
      <w:r>
        <w:rPr>
          <w:rFonts w:ascii="仿宋" w:eastAsia="仿宋" w:hAnsi="仿宋" w:hint="eastAsia"/>
          <w:sz w:val="32"/>
          <w:szCs w:val="32"/>
        </w:rPr>
        <w:t>内蒙古师范大学部门预算直属于自治区</w:t>
      </w:r>
      <w:r>
        <w:rPr>
          <w:rFonts w:ascii="仿宋" w:eastAsia="仿宋" w:hAnsi="仿宋" w:hint="eastAsia"/>
          <w:sz w:val="32"/>
          <w:szCs w:val="32"/>
        </w:rPr>
        <w:t>财政厅</w:t>
      </w:r>
      <w:r>
        <w:rPr>
          <w:rFonts w:ascii="仿宋" w:eastAsia="仿宋" w:hAnsi="仿宋" w:hint="eastAsia"/>
          <w:sz w:val="32"/>
          <w:szCs w:val="32"/>
        </w:rPr>
        <w:t>本级预算。</w:t>
      </w:r>
    </w:p>
    <w:p w:rsidR="005450DF" w:rsidRDefault="00660093">
      <w:pPr>
        <w:snapToGrid w:val="0"/>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（一）内蒙古师范大学机构及人员基本情况</w:t>
      </w:r>
    </w:p>
    <w:p w:rsidR="005450DF" w:rsidRDefault="00660093">
      <w:pPr>
        <w:spacing w:line="560" w:lineRule="exact"/>
        <w:ind w:firstLineChars="200" w:firstLine="640"/>
        <w:rPr>
          <w:rFonts w:ascii="仿宋" w:eastAsia="仿宋" w:hAnsi="仿宋"/>
          <w:sz w:val="32"/>
          <w:szCs w:val="32"/>
        </w:rPr>
      </w:pPr>
      <w:r>
        <w:rPr>
          <w:rFonts w:ascii="仿宋" w:eastAsia="仿宋" w:hAnsi="仿宋" w:hint="eastAsia"/>
          <w:sz w:val="32"/>
          <w:szCs w:val="32"/>
        </w:rPr>
        <w:t>内蒙古师范大学直属于</w:t>
      </w:r>
      <w:r>
        <w:rPr>
          <w:rFonts w:ascii="仿宋" w:eastAsia="仿宋" w:hAnsi="仿宋" w:cs="宋体" w:hint="eastAsia"/>
          <w:color w:val="000000"/>
          <w:kern w:val="0"/>
          <w:sz w:val="32"/>
          <w:szCs w:val="32"/>
        </w:rPr>
        <w:t>自治区</w:t>
      </w:r>
      <w:r>
        <w:rPr>
          <w:rFonts w:ascii="仿宋" w:eastAsia="仿宋" w:hAnsi="仿宋" w:cs="宋体" w:hint="eastAsia"/>
          <w:color w:val="000000"/>
          <w:kern w:val="0"/>
          <w:sz w:val="32"/>
          <w:szCs w:val="32"/>
        </w:rPr>
        <w:t>财政</w:t>
      </w:r>
      <w:r>
        <w:rPr>
          <w:rFonts w:ascii="仿宋" w:eastAsia="仿宋" w:hAnsi="仿宋" w:cs="宋体" w:hint="eastAsia"/>
          <w:color w:val="000000"/>
          <w:kern w:val="0"/>
          <w:sz w:val="32"/>
          <w:szCs w:val="32"/>
        </w:rPr>
        <w:t>厅本级，属公益二类事业单位。</w:t>
      </w:r>
    </w:p>
    <w:p w:rsidR="005450DF" w:rsidRDefault="00660093">
      <w:pPr>
        <w:spacing w:line="560" w:lineRule="exact"/>
        <w:ind w:firstLineChars="200" w:firstLine="640"/>
        <w:rPr>
          <w:rFonts w:ascii="仿宋" w:eastAsia="仿宋" w:hAnsi="仿宋"/>
          <w:color w:val="0000FF"/>
          <w:sz w:val="32"/>
          <w:szCs w:val="32"/>
        </w:rPr>
      </w:pPr>
      <w:r>
        <w:rPr>
          <w:rFonts w:ascii="仿宋" w:eastAsia="仿宋" w:hAnsi="仿宋" w:hint="eastAsia"/>
          <w:sz w:val="32"/>
          <w:szCs w:val="32"/>
        </w:rPr>
        <w:lastRenderedPageBreak/>
        <w:t>学校下设</w:t>
      </w:r>
      <w:r>
        <w:rPr>
          <w:rFonts w:ascii="仿宋" w:eastAsia="仿宋" w:hAnsi="仿宋" w:hint="eastAsia"/>
          <w:sz w:val="32"/>
          <w:szCs w:val="32"/>
        </w:rPr>
        <w:t>31</w:t>
      </w:r>
      <w:r>
        <w:rPr>
          <w:rFonts w:ascii="仿宋" w:eastAsia="仿宋" w:hAnsi="仿宋" w:hint="eastAsia"/>
          <w:sz w:val="32"/>
          <w:szCs w:val="32"/>
        </w:rPr>
        <w:t>个教学机构、</w:t>
      </w:r>
      <w:r>
        <w:rPr>
          <w:rFonts w:ascii="仿宋" w:eastAsia="仿宋" w:hAnsi="仿宋" w:hint="eastAsia"/>
          <w:sz w:val="32"/>
          <w:szCs w:val="32"/>
        </w:rPr>
        <w:t>5</w:t>
      </w:r>
      <w:r>
        <w:rPr>
          <w:rFonts w:ascii="仿宋" w:eastAsia="仿宋" w:hAnsi="仿宋" w:hint="eastAsia"/>
          <w:sz w:val="32"/>
          <w:szCs w:val="32"/>
        </w:rPr>
        <w:t>个合作办学学院、</w:t>
      </w:r>
      <w:r>
        <w:rPr>
          <w:rFonts w:ascii="仿宋" w:eastAsia="仿宋" w:hAnsi="仿宋" w:hint="eastAsia"/>
          <w:sz w:val="32"/>
          <w:szCs w:val="32"/>
        </w:rPr>
        <w:t>1</w:t>
      </w:r>
      <w:r>
        <w:rPr>
          <w:rFonts w:ascii="仿宋" w:eastAsia="仿宋" w:hAnsi="仿宋" w:hint="eastAsia"/>
          <w:sz w:val="32"/>
          <w:szCs w:val="32"/>
        </w:rPr>
        <w:t>个独立学院</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所附属学校。在职人员编</w:t>
      </w:r>
      <w:r>
        <w:rPr>
          <w:rFonts w:ascii="仿宋" w:eastAsia="仿宋" w:hAnsi="仿宋" w:hint="eastAsia"/>
          <w:sz w:val="32"/>
          <w:szCs w:val="32"/>
        </w:rPr>
        <w:t>制</w:t>
      </w:r>
      <w:r>
        <w:rPr>
          <w:rFonts w:ascii="仿宋" w:eastAsia="仿宋" w:hAnsi="仿宋" w:hint="eastAsia"/>
          <w:sz w:val="32"/>
          <w:szCs w:val="32"/>
        </w:rPr>
        <w:t>2666</w:t>
      </w:r>
      <w:r>
        <w:rPr>
          <w:rFonts w:ascii="仿宋" w:eastAsia="仿宋" w:hAnsi="仿宋" w:hint="eastAsia"/>
          <w:sz w:val="32"/>
          <w:szCs w:val="32"/>
        </w:rPr>
        <w:t>人，实有教职工</w:t>
      </w:r>
      <w:r>
        <w:rPr>
          <w:rFonts w:ascii="仿宋" w:eastAsia="仿宋" w:hAnsi="仿宋" w:hint="eastAsia"/>
          <w:sz w:val="32"/>
          <w:szCs w:val="32"/>
        </w:rPr>
        <w:t>2371</w:t>
      </w:r>
      <w:r>
        <w:rPr>
          <w:rFonts w:ascii="仿宋" w:eastAsia="仿宋" w:hAnsi="仿宋" w:hint="eastAsia"/>
          <w:sz w:val="32"/>
          <w:szCs w:val="32"/>
        </w:rPr>
        <w:t>人，离退休人员</w:t>
      </w:r>
      <w:r>
        <w:rPr>
          <w:rFonts w:ascii="仿宋" w:eastAsia="仿宋" w:hAnsi="仿宋" w:hint="eastAsia"/>
          <w:sz w:val="32"/>
          <w:szCs w:val="32"/>
        </w:rPr>
        <w:t>1107</w:t>
      </w:r>
      <w:r>
        <w:rPr>
          <w:rFonts w:ascii="仿宋" w:eastAsia="仿宋" w:hAnsi="仿宋" w:hint="eastAsia"/>
          <w:sz w:val="32"/>
          <w:szCs w:val="32"/>
        </w:rPr>
        <w:t>人。</w:t>
      </w:r>
      <w:r>
        <w:rPr>
          <w:rFonts w:ascii="仿宋" w:eastAsia="仿宋" w:hAnsi="仿宋" w:hint="eastAsia"/>
          <w:sz w:val="32"/>
          <w:szCs w:val="32"/>
        </w:rPr>
        <w:t>在校全日制</w:t>
      </w:r>
      <w:r>
        <w:rPr>
          <w:rFonts w:ascii="仿宋" w:eastAsia="仿宋" w:hAnsi="仿宋" w:hint="eastAsia"/>
          <w:sz w:val="32"/>
          <w:szCs w:val="32"/>
        </w:rPr>
        <w:t>本专科生</w:t>
      </w:r>
      <w:r>
        <w:rPr>
          <w:rFonts w:ascii="仿宋" w:eastAsia="仿宋" w:hAnsi="仿宋" w:hint="eastAsia"/>
          <w:sz w:val="32"/>
          <w:szCs w:val="32"/>
        </w:rPr>
        <w:t>24308</w:t>
      </w:r>
      <w:r>
        <w:rPr>
          <w:rFonts w:ascii="仿宋" w:eastAsia="仿宋" w:hAnsi="仿宋" w:hint="eastAsia"/>
          <w:sz w:val="32"/>
          <w:szCs w:val="32"/>
        </w:rPr>
        <w:t>人，各类研究生</w:t>
      </w:r>
      <w:r>
        <w:rPr>
          <w:rFonts w:ascii="仿宋" w:eastAsia="仿宋" w:hAnsi="仿宋" w:hint="eastAsia"/>
          <w:sz w:val="32"/>
          <w:szCs w:val="32"/>
        </w:rPr>
        <w:t>4263</w:t>
      </w:r>
      <w:r>
        <w:rPr>
          <w:rFonts w:ascii="仿宋" w:eastAsia="仿宋" w:hAnsi="仿宋" w:hint="eastAsia"/>
          <w:sz w:val="32"/>
          <w:szCs w:val="32"/>
        </w:rPr>
        <w:t>人，各类成人教育学生</w:t>
      </w:r>
      <w:r>
        <w:rPr>
          <w:rFonts w:ascii="仿宋" w:eastAsia="仿宋" w:hAnsi="仿宋" w:hint="eastAsia"/>
          <w:sz w:val="32"/>
          <w:szCs w:val="32"/>
        </w:rPr>
        <w:t>1161</w:t>
      </w:r>
      <w:r>
        <w:rPr>
          <w:rFonts w:ascii="仿宋" w:eastAsia="仿宋" w:hAnsi="仿宋" w:hint="eastAsia"/>
          <w:sz w:val="32"/>
          <w:szCs w:val="32"/>
        </w:rPr>
        <w:t>人，留学生</w:t>
      </w:r>
      <w:r>
        <w:rPr>
          <w:rFonts w:ascii="仿宋" w:eastAsia="仿宋" w:hAnsi="仿宋" w:hint="eastAsia"/>
          <w:sz w:val="32"/>
          <w:szCs w:val="32"/>
        </w:rPr>
        <w:t>277</w:t>
      </w:r>
      <w:r>
        <w:rPr>
          <w:rFonts w:ascii="仿宋" w:eastAsia="仿宋" w:hAnsi="仿宋" w:hint="eastAsia"/>
          <w:sz w:val="32"/>
          <w:szCs w:val="32"/>
        </w:rPr>
        <w:t>人</w:t>
      </w:r>
      <w:r>
        <w:rPr>
          <w:rFonts w:ascii="仿宋" w:eastAsia="仿宋" w:hAnsi="仿宋" w:hint="eastAsia"/>
          <w:sz w:val="32"/>
          <w:szCs w:val="32"/>
        </w:rPr>
        <w:t>，在校小学、初高中生</w:t>
      </w:r>
      <w:r>
        <w:rPr>
          <w:rFonts w:ascii="仿宋" w:eastAsia="仿宋" w:hAnsi="仿宋" w:hint="eastAsia"/>
          <w:sz w:val="32"/>
          <w:szCs w:val="32"/>
        </w:rPr>
        <w:t>5323</w:t>
      </w:r>
      <w:r>
        <w:rPr>
          <w:rFonts w:ascii="仿宋" w:eastAsia="仿宋" w:hAnsi="仿宋" w:hint="eastAsia"/>
          <w:sz w:val="32"/>
          <w:szCs w:val="32"/>
        </w:rPr>
        <w:t>人。</w:t>
      </w:r>
    </w:p>
    <w:p w:rsidR="005450DF" w:rsidRDefault="00660093">
      <w:pPr>
        <w:snapToGrid w:val="0"/>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（二）内蒙古师范大学附属单位设置</w:t>
      </w:r>
    </w:p>
    <w:p w:rsidR="005450DF" w:rsidRDefault="00660093">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年内蒙古师范大学为</w:t>
      </w:r>
      <w:r>
        <w:rPr>
          <w:rFonts w:ascii="仿宋" w:eastAsia="仿宋" w:hAnsi="仿宋" w:hint="eastAsia"/>
          <w:sz w:val="32"/>
          <w:szCs w:val="32"/>
        </w:rPr>
        <w:t>一级</w:t>
      </w:r>
      <w:r>
        <w:rPr>
          <w:rFonts w:ascii="仿宋" w:eastAsia="仿宋" w:hAnsi="仿宋" w:hint="eastAsia"/>
          <w:sz w:val="32"/>
          <w:szCs w:val="32"/>
        </w:rPr>
        <w:t>预算单位，附属二级预算单位</w:t>
      </w:r>
      <w:r>
        <w:rPr>
          <w:rFonts w:ascii="仿宋" w:eastAsia="仿宋" w:hAnsi="仿宋" w:hint="eastAsia"/>
          <w:sz w:val="32"/>
          <w:szCs w:val="32"/>
        </w:rPr>
        <w:t>分别为内蒙古师范大学、内蒙古师范大学附属中学和内蒙古师范大学附属盛乐实验学校</w:t>
      </w:r>
      <w:r>
        <w:rPr>
          <w:rFonts w:ascii="仿宋" w:eastAsia="仿宋" w:hAnsi="仿宋" w:hint="eastAsia"/>
          <w:sz w:val="32"/>
          <w:szCs w:val="32"/>
        </w:rPr>
        <w:t>。</w:t>
      </w:r>
      <w:r>
        <w:rPr>
          <w:rFonts w:ascii="仿宋" w:eastAsia="仿宋" w:hAnsi="仿宋" w:hint="eastAsia"/>
          <w:sz w:val="32"/>
          <w:szCs w:val="32"/>
        </w:rPr>
        <w:t xml:space="preserve"> </w:t>
      </w:r>
    </w:p>
    <w:p w:rsidR="005450DF" w:rsidRDefault="005450DF">
      <w:pPr>
        <w:spacing w:line="560" w:lineRule="exact"/>
        <w:ind w:firstLineChars="200" w:firstLine="640"/>
        <w:rPr>
          <w:rFonts w:ascii="仿宋" w:eastAsia="仿宋" w:hAnsi="仿宋"/>
          <w:sz w:val="32"/>
          <w:szCs w:val="32"/>
        </w:rPr>
      </w:pPr>
    </w:p>
    <w:p w:rsidR="005450DF" w:rsidRDefault="00660093">
      <w:pPr>
        <w:spacing w:line="560" w:lineRule="exact"/>
        <w:jc w:val="center"/>
        <w:rPr>
          <w:rFonts w:ascii="楷体_GB2312" w:eastAsia="楷体_GB2312"/>
          <w:b/>
          <w:sz w:val="36"/>
          <w:szCs w:val="36"/>
        </w:rPr>
      </w:pPr>
      <w:r>
        <w:rPr>
          <w:rFonts w:ascii="楷体_GB2312" w:eastAsia="楷体_GB2312" w:hint="eastAsia"/>
          <w:b/>
          <w:sz w:val="36"/>
          <w:szCs w:val="36"/>
        </w:rPr>
        <w:t>第二部分</w:t>
      </w:r>
      <w:r>
        <w:rPr>
          <w:rFonts w:ascii="楷体_GB2312" w:eastAsia="楷体_GB2312" w:hint="eastAsia"/>
          <w:b/>
          <w:sz w:val="36"/>
          <w:szCs w:val="36"/>
        </w:rPr>
        <w:t xml:space="preserve">   201</w:t>
      </w:r>
      <w:r>
        <w:rPr>
          <w:rFonts w:ascii="楷体_GB2312" w:eastAsia="楷体_GB2312" w:hint="eastAsia"/>
          <w:b/>
          <w:sz w:val="36"/>
          <w:szCs w:val="36"/>
        </w:rPr>
        <w:t>9</w:t>
      </w:r>
      <w:r>
        <w:rPr>
          <w:rFonts w:ascii="楷体_GB2312" w:eastAsia="楷体_GB2312" w:hint="eastAsia"/>
          <w:b/>
          <w:sz w:val="36"/>
          <w:szCs w:val="36"/>
        </w:rPr>
        <w:t>年部门预算安排情况说明</w:t>
      </w:r>
    </w:p>
    <w:p w:rsidR="005450DF" w:rsidRDefault="005450DF">
      <w:pPr>
        <w:spacing w:line="560" w:lineRule="exact"/>
        <w:jc w:val="center"/>
        <w:rPr>
          <w:rFonts w:ascii="楷体_GB2312" w:eastAsia="楷体_GB2312"/>
          <w:b/>
          <w:sz w:val="36"/>
          <w:szCs w:val="36"/>
        </w:rPr>
      </w:pP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一、内蒙古师范大学本级部门预算情况</w:t>
      </w:r>
      <w:r>
        <w:rPr>
          <w:rFonts w:ascii="仿宋" w:eastAsia="仿宋" w:hAnsi="仿宋" w:cs="仿宋" w:hint="eastAsia"/>
          <w:sz w:val="32"/>
          <w:szCs w:val="32"/>
        </w:rPr>
        <w:t>:</w:t>
      </w: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年内蒙古师范大学转为自治区一级预算单位，部门预算收支包含了</w:t>
      </w:r>
      <w:r>
        <w:rPr>
          <w:rFonts w:ascii="仿宋" w:eastAsia="仿宋" w:hAnsi="仿宋" w:hint="eastAsia"/>
          <w:sz w:val="32"/>
          <w:szCs w:val="32"/>
        </w:rPr>
        <w:t>内蒙古师范大学、内蒙古师范大学附属中学及内蒙古师范大学附属实验学校预算收支。</w:t>
      </w:r>
    </w:p>
    <w:p w:rsidR="005450DF" w:rsidRDefault="00660093">
      <w:pPr>
        <w:spacing w:line="560" w:lineRule="exact"/>
        <w:ind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 xml:space="preserve"> 2019</w:t>
      </w:r>
      <w:r>
        <w:rPr>
          <w:rFonts w:ascii="仿宋" w:eastAsia="仿宋" w:hAnsi="仿宋" w:cs="仿宋" w:hint="eastAsia"/>
          <w:sz w:val="32"/>
          <w:szCs w:val="32"/>
        </w:rPr>
        <w:t>年内蒙古师范大学本级部门收入预算</w:t>
      </w:r>
    </w:p>
    <w:p w:rsidR="005450DF" w:rsidRDefault="00660093">
      <w:pPr>
        <w:spacing w:line="560" w:lineRule="exact"/>
        <w:ind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年，内蒙古师范大学本级部门收入共计</w:t>
      </w:r>
      <w:r>
        <w:rPr>
          <w:rFonts w:ascii="仿宋" w:eastAsia="仿宋" w:hAnsi="仿宋" w:cs="仿宋" w:hint="eastAsia"/>
          <w:sz w:val="32"/>
          <w:szCs w:val="32"/>
        </w:rPr>
        <w:t xml:space="preserve">           116666.65</w:t>
      </w:r>
      <w:r>
        <w:rPr>
          <w:rFonts w:ascii="仿宋" w:eastAsia="仿宋" w:hAnsi="仿宋" w:cs="仿宋" w:hint="eastAsia"/>
          <w:sz w:val="32"/>
          <w:szCs w:val="32"/>
        </w:rPr>
        <w:t>万元，与上年</w:t>
      </w:r>
      <w:r>
        <w:rPr>
          <w:rFonts w:ascii="仿宋" w:eastAsia="仿宋" w:hAnsi="仿宋" w:cs="仿宋" w:hint="eastAsia"/>
          <w:sz w:val="32"/>
          <w:szCs w:val="32"/>
        </w:rPr>
        <w:t>80066.4</w:t>
      </w:r>
      <w:r>
        <w:rPr>
          <w:rFonts w:ascii="仿宋" w:eastAsia="仿宋" w:hAnsi="仿宋" w:cs="仿宋" w:hint="eastAsia"/>
          <w:sz w:val="32"/>
          <w:szCs w:val="32"/>
        </w:rPr>
        <w:t>万元相比，增加</w:t>
      </w:r>
      <w:r>
        <w:rPr>
          <w:rFonts w:ascii="仿宋" w:eastAsia="仿宋" w:hAnsi="仿宋" w:cs="仿宋" w:hint="eastAsia"/>
          <w:sz w:val="32"/>
          <w:szCs w:val="32"/>
        </w:rPr>
        <w:t>36600.25</w:t>
      </w:r>
      <w:r>
        <w:rPr>
          <w:rFonts w:ascii="仿宋" w:eastAsia="仿宋" w:hAnsi="仿宋" w:cs="仿宋" w:hint="eastAsia"/>
          <w:sz w:val="32"/>
          <w:szCs w:val="32"/>
        </w:rPr>
        <w:t>万元，增幅</w:t>
      </w:r>
      <w:r>
        <w:rPr>
          <w:rFonts w:ascii="仿宋" w:eastAsia="仿宋" w:hAnsi="仿宋" w:cs="仿宋" w:hint="eastAsia"/>
          <w:sz w:val="32"/>
          <w:szCs w:val="32"/>
        </w:rPr>
        <w:t>46 %</w:t>
      </w:r>
      <w:r>
        <w:rPr>
          <w:rFonts w:ascii="仿宋" w:eastAsia="仿宋" w:hAnsi="仿宋" w:cs="仿宋" w:hint="eastAsia"/>
          <w:sz w:val="32"/>
          <w:szCs w:val="32"/>
        </w:rPr>
        <w:t>。其中：</w:t>
      </w: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财政拨款</w:t>
      </w:r>
      <w:r>
        <w:rPr>
          <w:rFonts w:ascii="仿宋" w:eastAsia="仿宋" w:hAnsi="仿宋" w:cs="仿宋" w:hint="eastAsia"/>
          <w:sz w:val="32"/>
          <w:szCs w:val="32"/>
        </w:rPr>
        <w:t>69,999.02</w:t>
      </w:r>
      <w:r>
        <w:rPr>
          <w:rFonts w:ascii="仿宋" w:eastAsia="仿宋" w:hAnsi="仿宋" w:cs="仿宋" w:hint="eastAsia"/>
          <w:sz w:val="32"/>
          <w:szCs w:val="32"/>
        </w:rPr>
        <w:t>万元，比上年增加</w:t>
      </w:r>
      <w:r>
        <w:rPr>
          <w:rFonts w:ascii="仿宋" w:eastAsia="仿宋" w:hAnsi="仿宋" w:cs="仿宋" w:hint="eastAsia"/>
          <w:sz w:val="32"/>
          <w:szCs w:val="32"/>
        </w:rPr>
        <w:t>23829.29</w:t>
      </w:r>
      <w:r>
        <w:rPr>
          <w:rFonts w:ascii="仿宋" w:eastAsia="仿宋" w:hAnsi="仿宋" w:cs="仿宋" w:hint="eastAsia"/>
          <w:sz w:val="32"/>
          <w:szCs w:val="32"/>
        </w:rPr>
        <w:t>万元，增幅</w:t>
      </w:r>
      <w:r>
        <w:rPr>
          <w:rFonts w:ascii="仿宋" w:eastAsia="仿宋" w:hAnsi="仿宋" w:cs="仿宋" w:hint="eastAsia"/>
          <w:sz w:val="32"/>
          <w:szCs w:val="32"/>
        </w:rPr>
        <w:t>52%</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年财政生均拨款由</w:t>
      </w:r>
      <w:r>
        <w:rPr>
          <w:rFonts w:ascii="仿宋" w:eastAsia="仿宋" w:hAnsi="仿宋" w:cs="仿宋" w:hint="eastAsia"/>
          <w:sz w:val="32"/>
          <w:szCs w:val="32"/>
        </w:rPr>
        <w:t>8700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生提高至</w:t>
      </w:r>
      <w:r>
        <w:rPr>
          <w:rFonts w:ascii="仿宋" w:eastAsia="仿宋" w:hAnsi="仿宋" w:cs="仿宋" w:hint="eastAsia"/>
          <w:sz w:val="32"/>
          <w:szCs w:val="32"/>
        </w:rPr>
        <w:t>11000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生</w:t>
      </w:r>
      <w:r>
        <w:rPr>
          <w:rFonts w:ascii="仿宋" w:eastAsia="仿宋" w:hAnsi="仿宋" w:cs="仿宋" w:hint="eastAsia"/>
          <w:sz w:val="32"/>
          <w:szCs w:val="32"/>
        </w:rPr>
        <w:t>，以及</w:t>
      </w:r>
      <w:r>
        <w:rPr>
          <w:rFonts w:ascii="仿宋" w:eastAsia="仿宋" w:hAnsi="仿宋" w:hint="eastAsia"/>
          <w:sz w:val="32"/>
          <w:szCs w:val="32"/>
        </w:rPr>
        <w:t>中央支持地方高校改革发展资金、双一流建设资金、重点学科重点实验室等财政专项资金列入预算收入，使得财政拨款预算收入较上年大幅度提升。</w:t>
      </w:r>
      <w:r>
        <w:rPr>
          <w:rFonts w:ascii="仿宋" w:eastAsia="仿宋" w:hAnsi="仿宋" w:hint="eastAsia"/>
          <w:sz w:val="32"/>
          <w:szCs w:val="32"/>
        </w:rPr>
        <w:t xml:space="preserve"> </w:t>
      </w: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事业收入</w:t>
      </w:r>
      <w:r>
        <w:rPr>
          <w:rFonts w:ascii="仿宋" w:eastAsia="仿宋" w:hAnsi="仿宋" w:cs="仿宋" w:hint="eastAsia"/>
          <w:sz w:val="32"/>
          <w:szCs w:val="32"/>
        </w:rPr>
        <w:t xml:space="preserve">24,356.84 </w:t>
      </w:r>
      <w:r>
        <w:rPr>
          <w:rFonts w:ascii="仿宋" w:eastAsia="仿宋" w:hAnsi="仿宋" w:cs="仿宋" w:hint="eastAsia"/>
          <w:sz w:val="32"/>
          <w:szCs w:val="32"/>
        </w:rPr>
        <w:t>万元，主要是收取的学费和住宿费，比上年增加</w:t>
      </w:r>
      <w:r>
        <w:rPr>
          <w:rFonts w:ascii="仿宋" w:eastAsia="仿宋" w:hAnsi="仿宋" w:cs="仿宋" w:hint="eastAsia"/>
          <w:sz w:val="32"/>
          <w:szCs w:val="32"/>
        </w:rPr>
        <w:t>3256.84</w:t>
      </w:r>
      <w:r>
        <w:rPr>
          <w:rFonts w:ascii="仿宋" w:eastAsia="仿宋" w:hAnsi="仿宋" w:cs="仿宋" w:hint="eastAsia"/>
          <w:sz w:val="32"/>
          <w:szCs w:val="32"/>
        </w:rPr>
        <w:t>，增幅</w:t>
      </w:r>
      <w:r>
        <w:rPr>
          <w:rFonts w:ascii="仿宋" w:eastAsia="仿宋" w:hAnsi="仿宋" w:cs="仿宋" w:hint="eastAsia"/>
          <w:sz w:val="32"/>
          <w:szCs w:val="32"/>
        </w:rPr>
        <w:t>15%</w:t>
      </w:r>
      <w:r>
        <w:rPr>
          <w:rFonts w:ascii="仿宋" w:eastAsia="仿宋" w:hAnsi="仿宋" w:cs="仿宋" w:hint="eastAsia"/>
          <w:sz w:val="32"/>
          <w:szCs w:val="32"/>
        </w:rPr>
        <w:t>。</w:t>
      </w:r>
    </w:p>
    <w:p w:rsidR="005450DF" w:rsidRDefault="00660093">
      <w:pPr>
        <w:spacing w:line="560" w:lineRule="exact"/>
        <w:ind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经营收入</w:t>
      </w:r>
      <w:r>
        <w:rPr>
          <w:rFonts w:ascii="仿宋" w:eastAsia="仿宋" w:hAnsi="仿宋" w:cs="仿宋" w:hint="eastAsia"/>
          <w:sz w:val="32"/>
          <w:szCs w:val="32"/>
        </w:rPr>
        <w:t>1100</w:t>
      </w:r>
      <w:r>
        <w:rPr>
          <w:rFonts w:ascii="仿宋" w:eastAsia="仿宋" w:hAnsi="仿宋" w:cs="仿宋" w:hint="eastAsia"/>
          <w:sz w:val="32"/>
          <w:szCs w:val="32"/>
        </w:rPr>
        <w:t>万元，比上年减少</w:t>
      </w:r>
      <w:r>
        <w:rPr>
          <w:rFonts w:ascii="仿宋" w:eastAsia="仿宋" w:hAnsi="仿宋" w:cs="仿宋" w:hint="eastAsia"/>
          <w:sz w:val="32"/>
          <w:szCs w:val="32"/>
        </w:rPr>
        <w:t>600</w:t>
      </w:r>
      <w:r>
        <w:rPr>
          <w:rFonts w:ascii="仿宋" w:eastAsia="仿宋" w:hAnsi="仿宋" w:cs="仿宋" w:hint="eastAsia"/>
          <w:sz w:val="32"/>
          <w:szCs w:val="32"/>
        </w:rPr>
        <w:t>万元，减幅</w:t>
      </w:r>
      <w:r>
        <w:rPr>
          <w:rFonts w:ascii="仿宋" w:eastAsia="仿宋" w:hAnsi="仿宋" w:cs="仿宋" w:hint="eastAsia"/>
          <w:sz w:val="32"/>
          <w:szCs w:val="32"/>
        </w:rPr>
        <w:t>35%</w:t>
      </w:r>
      <w:r>
        <w:rPr>
          <w:rFonts w:ascii="仿宋" w:eastAsia="仿宋" w:hAnsi="仿宋" w:cs="仿宋" w:hint="eastAsia"/>
          <w:sz w:val="32"/>
          <w:szCs w:val="32"/>
        </w:rPr>
        <w:t>。</w:t>
      </w:r>
    </w:p>
    <w:p w:rsidR="005450DF" w:rsidRDefault="00660093">
      <w:pPr>
        <w:spacing w:line="560" w:lineRule="exact"/>
        <w:ind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其他收入</w:t>
      </w:r>
      <w:r>
        <w:rPr>
          <w:rFonts w:ascii="仿宋" w:eastAsia="仿宋" w:hAnsi="仿宋" w:cs="仿宋" w:hint="eastAsia"/>
          <w:sz w:val="32"/>
          <w:szCs w:val="32"/>
        </w:rPr>
        <w:t>2601.09</w:t>
      </w:r>
      <w:r>
        <w:rPr>
          <w:rFonts w:ascii="仿宋" w:eastAsia="仿宋" w:hAnsi="仿宋" w:cs="仿宋" w:hint="eastAsia"/>
          <w:sz w:val="32"/>
          <w:szCs w:val="32"/>
        </w:rPr>
        <w:t>万元，主要是政府留学生奖学金、学生助学</w:t>
      </w:r>
      <w:proofErr w:type="gramStart"/>
      <w:r>
        <w:rPr>
          <w:rFonts w:ascii="仿宋" w:eastAsia="仿宋" w:hAnsi="仿宋" w:cs="仿宋" w:hint="eastAsia"/>
          <w:sz w:val="32"/>
          <w:szCs w:val="32"/>
        </w:rPr>
        <w:t>贷款奖补</w:t>
      </w:r>
      <w:proofErr w:type="gramEnd"/>
      <w:r>
        <w:rPr>
          <w:rFonts w:ascii="仿宋" w:eastAsia="仿宋" w:hAnsi="仿宋" w:cs="仿宋" w:hint="eastAsia"/>
          <w:sz w:val="32"/>
          <w:szCs w:val="32"/>
        </w:rPr>
        <w:t>资金、各类考试考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费等。</w:t>
      </w:r>
    </w:p>
    <w:p w:rsidR="005450DF" w:rsidRDefault="00660093">
      <w:pPr>
        <w:spacing w:line="560" w:lineRule="exact"/>
        <w:ind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上年结转资金</w:t>
      </w:r>
      <w:r>
        <w:rPr>
          <w:rFonts w:ascii="仿宋" w:eastAsia="仿宋" w:hAnsi="仿宋" w:cs="仿宋" w:hint="eastAsia"/>
          <w:sz w:val="32"/>
          <w:szCs w:val="32"/>
        </w:rPr>
        <w:t xml:space="preserve"> 10598.39</w:t>
      </w:r>
      <w:r>
        <w:rPr>
          <w:rFonts w:ascii="仿宋" w:eastAsia="仿宋" w:hAnsi="仿宋" w:cs="仿宋" w:hint="eastAsia"/>
          <w:sz w:val="32"/>
          <w:szCs w:val="32"/>
        </w:rPr>
        <w:t>万元。</w:t>
      </w:r>
    </w:p>
    <w:p w:rsidR="005450DF" w:rsidRDefault="00660093">
      <w:pPr>
        <w:spacing w:line="560" w:lineRule="exact"/>
        <w:ind w:firstLine="4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用事业基金弥补收支差</w:t>
      </w:r>
      <w:r>
        <w:rPr>
          <w:rFonts w:ascii="仿宋" w:eastAsia="仿宋" w:hAnsi="仿宋" w:cs="仿宋" w:hint="eastAsia"/>
          <w:sz w:val="32"/>
          <w:szCs w:val="32"/>
        </w:rPr>
        <w:t>8011.31</w:t>
      </w:r>
      <w:r>
        <w:rPr>
          <w:rFonts w:ascii="仿宋" w:eastAsia="仿宋" w:hAnsi="仿宋" w:cs="仿宋" w:hint="eastAsia"/>
          <w:sz w:val="32"/>
          <w:szCs w:val="32"/>
        </w:rPr>
        <w:t>万元。</w:t>
      </w: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w:t>
      </w:r>
      <w:r>
        <w:rPr>
          <w:rFonts w:ascii="仿宋" w:eastAsia="仿宋" w:hAnsi="仿宋" w:cs="仿宋" w:hint="eastAsia"/>
          <w:sz w:val="32"/>
          <w:szCs w:val="32"/>
        </w:rPr>
        <w:t xml:space="preserve"> 2019</w:t>
      </w:r>
      <w:r>
        <w:rPr>
          <w:rFonts w:ascii="仿宋" w:eastAsia="仿宋" w:hAnsi="仿宋" w:cs="仿宋" w:hint="eastAsia"/>
          <w:sz w:val="32"/>
          <w:szCs w:val="32"/>
        </w:rPr>
        <w:t>年内蒙古师范大学本级部门支出预算</w:t>
      </w:r>
    </w:p>
    <w:p w:rsidR="005450DF" w:rsidRDefault="00660093">
      <w:pPr>
        <w:spacing w:line="560" w:lineRule="exact"/>
        <w:ind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年，内蒙古师范大学本级部门支出共计</w:t>
      </w:r>
      <w:r>
        <w:rPr>
          <w:rFonts w:ascii="仿宋" w:eastAsia="仿宋" w:hAnsi="仿宋" w:cs="仿宋" w:hint="eastAsia"/>
          <w:sz w:val="32"/>
          <w:szCs w:val="32"/>
        </w:rPr>
        <w:t>116666.65</w:t>
      </w:r>
      <w:r>
        <w:rPr>
          <w:rFonts w:ascii="仿宋" w:eastAsia="仿宋" w:hAnsi="仿宋" w:cs="仿宋" w:hint="eastAsia"/>
          <w:sz w:val="32"/>
          <w:szCs w:val="32"/>
        </w:rPr>
        <w:t>万元，与上年</w:t>
      </w:r>
      <w:r>
        <w:rPr>
          <w:rFonts w:ascii="仿宋" w:eastAsia="仿宋" w:hAnsi="仿宋" w:cs="仿宋" w:hint="eastAsia"/>
          <w:sz w:val="32"/>
          <w:szCs w:val="32"/>
        </w:rPr>
        <w:t>80066.4</w:t>
      </w:r>
      <w:r>
        <w:rPr>
          <w:rFonts w:ascii="仿宋" w:eastAsia="仿宋" w:hAnsi="仿宋" w:cs="仿宋" w:hint="eastAsia"/>
          <w:sz w:val="32"/>
          <w:szCs w:val="32"/>
        </w:rPr>
        <w:t>万元相比，增加</w:t>
      </w:r>
      <w:r>
        <w:rPr>
          <w:rFonts w:ascii="仿宋" w:eastAsia="仿宋" w:hAnsi="仿宋" w:cs="仿宋" w:hint="eastAsia"/>
          <w:sz w:val="32"/>
          <w:szCs w:val="32"/>
        </w:rPr>
        <w:t>36600.25</w:t>
      </w:r>
      <w:r>
        <w:rPr>
          <w:rFonts w:ascii="仿宋" w:eastAsia="仿宋" w:hAnsi="仿宋" w:cs="仿宋" w:hint="eastAsia"/>
          <w:sz w:val="32"/>
          <w:szCs w:val="32"/>
        </w:rPr>
        <w:t>万元，增幅</w:t>
      </w:r>
      <w:r>
        <w:rPr>
          <w:rFonts w:ascii="仿宋" w:eastAsia="仿宋" w:hAnsi="仿宋" w:cs="仿宋" w:hint="eastAsia"/>
          <w:sz w:val="32"/>
          <w:szCs w:val="32"/>
        </w:rPr>
        <w:t>46 %</w:t>
      </w:r>
      <w:r>
        <w:rPr>
          <w:rFonts w:ascii="仿宋" w:eastAsia="仿宋" w:hAnsi="仿宋" w:cs="仿宋" w:hint="eastAsia"/>
          <w:sz w:val="32"/>
          <w:szCs w:val="32"/>
        </w:rPr>
        <w:t>。其中：基本支出</w:t>
      </w:r>
      <w:r>
        <w:rPr>
          <w:rFonts w:ascii="仿宋" w:eastAsia="仿宋" w:hAnsi="仿宋" w:cs="仿宋" w:hint="eastAsia"/>
          <w:sz w:val="32"/>
          <w:szCs w:val="32"/>
        </w:rPr>
        <w:t>80992.76</w:t>
      </w:r>
      <w:r>
        <w:rPr>
          <w:rFonts w:ascii="仿宋" w:eastAsia="仿宋" w:hAnsi="仿宋" w:cs="仿宋" w:hint="eastAsia"/>
          <w:sz w:val="32"/>
          <w:szCs w:val="32"/>
        </w:rPr>
        <w:t>万元，比上年增加</w:t>
      </w:r>
      <w:r>
        <w:rPr>
          <w:rFonts w:ascii="仿宋" w:eastAsia="仿宋" w:hAnsi="仿宋" w:cs="仿宋" w:hint="eastAsia"/>
          <w:sz w:val="32"/>
          <w:szCs w:val="32"/>
        </w:rPr>
        <w:t>16251.83</w:t>
      </w:r>
      <w:r>
        <w:rPr>
          <w:rFonts w:ascii="仿宋" w:eastAsia="仿宋" w:hAnsi="仿宋" w:cs="仿宋" w:hint="eastAsia"/>
          <w:sz w:val="32"/>
          <w:szCs w:val="32"/>
        </w:rPr>
        <w:t>万元；项目支出</w:t>
      </w:r>
      <w:r>
        <w:rPr>
          <w:rFonts w:ascii="仿宋" w:eastAsia="仿宋" w:hAnsi="仿宋" w:cs="仿宋" w:hint="eastAsia"/>
          <w:sz w:val="32"/>
          <w:szCs w:val="32"/>
        </w:rPr>
        <w:t>34573.89</w:t>
      </w:r>
      <w:r>
        <w:rPr>
          <w:rFonts w:ascii="仿宋" w:eastAsia="仿宋" w:hAnsi="仿宋" w:cs="仿宋" w:hint="eastAsia"/>
          <w:sz w:val="32"/>
          <w:szCs w:val="32"/>
        </w:rPr>
        <w:t>万元，比上年增加</w:t>
      </w:r>
      <w:r>
        <w:rPr>
          <w:rFonts w:ascii="仿宋" w:eastAsia="仿宋" w:hAnsi="仿宋" w:cs="仿宋" w:hint="eastAsia"/>
          <w:sz w:val="32"/>
          <w:szCs w:val="32"/>
        </w:rPr>
        <w:t>20948.42</w:t>
      </w:r>
      <w:r>
        <w:rPr>
          <w:rFonts w:ascii="仿宋" w:eastAsia="仿宋" w:hAnsi="仿宋" w:cs="仿宋" w:hint="eastAsia"/>
          <w:sz w:val="32"/>
          <w:szCs w:val="32"/>
        </w:rPr>
        <w:t>万元；经营支出</w:t>
      </w:r>
      <w:r>
        <w:rPr>
          <w:rFonts w:ascii="仿宋" w:eastAsia="仿宋" w:hAnsi="仿宋" w:cs="仿宋" w:hint="eastAsia"/>
          <w:sz w:val="32"/>
          <w:szCs w:val="32"/>
        </w:rPr>
        <w:t>1100</w:t>
      </w:r>
      <w:r>
        <w:rPr>
          <w:rFonts w:ascii="仿宋" w:eastAsia="仿宋" w:hAnsi="仿宋" w:cs="仿宋" w:hint="eastAsia"/>
          <w:sz w:val="32"/>
          <w:szCs w:val="32"/>
        </w:rPr>
        <w:t>万元，比上年减少</w:t>
      </w:r>
      <w:r>
        <w:rPr>
          <w:rFonts w:ascii="仿宋" w:eastAsia="仿宋" w:hAnsi="仿宋" w:cs="仿宋" w:hint="eastAsia"/>
          <w:sz w:val="32"/>
          <w:szCs w:val="32"/>
        </w:rPr>
        <w:t>600</w:t>
      </w:r>
      <w:r>
        <w:rPr>
          <w:rFonts w:ascii="仿宋" w:eastAsia="仿宋" w:hAnsi="仿宋" w:cs="仿宋" w:hint="eastAsia"/>
          <w:sz w:val="32"/>
          <w:szCs w:val="32"/>
        </w:rPr>
        <w:t>万元。</w:t>
      </w:r>
    </w:p>
    <w:p w:rsidR="005450DF" w:rsidRDefault="00660093">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w:t>
      </w:r>
      <w:r>
        <w:rPr>
          <w:rFonts w:ascii="仿宋" w:eastAsia="仿宋" w:hAnsi="仿宋" w:cs="仿宋" w:hint="eastAsia"/>
          <w:sz w:val="32"/>
          <w:szCs w:val="32"/>
        </w:rPr>
        <w:t xml:space="preserve"> 2019</w:t>
      </w:r>
      <w:r>
        <w:rPr>
          <w:rFonts w:ascii="仿宋" w:eastAsia="仿宋" w:hAnsi="仿宋" w:cs="仿宋" w:hint="eastAsia"/>
          <w:sz w:val="32"/>
          <w:szCs w:val="32"/>
        </w:rPr>
        <w:t>年本级部门项目支出预算</w:t>
      </w:r>
    </w:p>
    <w:p w:rsidR="005450DF" w:rsidRDefault="00660093">
      <w:pPr>
        <w:spacing w:line="560" w:lineRule="exact"/>
        <w:ind w:firstLine="420"/>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年，内蒙古师范大学本级部门项目支出共计</w:t>
      </w:r>
      <w:r>
        <w:rPr>
          <w:rFonts w:ascii="仿宋" w:eastAsia="仿宋" w:hAnsi="仿宋" w:cs="仿宋" w:hint="eastAsia"/>
          <w:sz w:val="32"/>
          <w:szCs w:val="32"/>
        </w:rPr>
        <w:t xml:space="preserve"> </w:t>
      </w:r>
      <w:r>
        <w:rPr>
          <w:rFonts w:ascii="仿宋" w:eastAsia="仿宋" w:hAnsi="仿宋" w:cs="仿宋" w:hint="eastAsia"/>
          <w:sz w:val="32"/>
          <w:szCs w:val="32"/>
        </w:rPr>
        <w:t>23975.5</w:t>
      </w:r>
      <w:r>
        <w:rPr>
          <w:rFonts w:ascii="仿宋" w:eastAsia="仿宋" w:hAnsi="仿宋" w:cs="仿宋" w:hint="eastAsia"/>
          <w:sz w:val="32"/>
          <w:szCs w:val="32"/>
        </w:rPr>
        <w:t>万元，具体包括：</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非物质文化遗产传承保护</w:t>
      </w:r>
      <w:r>
        <w:rPr>
          <w:rFonts w:ascii="仿宋" w:eastAsia="仿宋" w:hAnsi="仿宋" w:cs="仿宋" w:hint="eastAsia"/>
          <w:sz w:val="32"/>
          <w:szCs w:val="32"/>
        </w:rPr>
        <w:t>15</w:t>
      </w:r>
      <w:r>
        <w:rPr>
          <w:rFonts w:ascii="仿宋" w:eastAsia="仿宋" w:hAnsi="仿宋" w:cs="仿宋" w:hint="eastAsia"/>
          <w:sz w:val="32"/>
          <w:szCs w:val="32"/>
        </w:rPr>
        <w:t>万元，主要为</w:t>
      </w:r>
      <w:proofErr w:type="gramStart"/>
      <w:r>
        <w:rPr>
          <w:rFonts w:ascii="仿宋" w:eastAsia="仿宋" w:hAnsi="仿宋" w:cs="仿宋" w:hint="eastAsia"/>
          <w:sz w:val="32"/>
          <w:szCs w:val="32"/>
        </w:rPr>
        <w:t>科尔沁潮尔史诗</w:t>
      </w:r>
      <w:proofErr w:type="gramEnd"/>
      <w:r>
        <w:rPr>
          <w:rFonts w:ascii="仿宋" w:eastAsia="仿宋" w:hAnsi="仿宋" w:cs="仿宋" w:hint="eastAsia"/>
          <w:sz w:val="32"/>
          <w:szCs w:val="32"/>
        </w:rPr>
        <w:t>项目。</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内蒙古师范大学教育发展</w:t>
      </w:r>
      <w:r>
        <w:rPr>
          <w:rFonts w:ascii="仿宋" w:eastAsia="仿宋" w:hAnsi="仿宋" w:cs="仿宋" w:hint="eastAsia"/>
          <w:sz w:val="32"/>
          <w:szCs w:val="32"/>
        </w:rPr>
        <w:t>4294</w:t>
      </w:r>
      <w:r>
        <w:rPr>
          <w:rFonts w:ascii="仿宋" w:eastAsia="仿宋" w:hAnsi="仿宋" w:cs="仿宋" w:hint="eastAsia"/>
          <w:sz w:val="32"/>
          <w:szCs w:val="32"/>
        </w:rPr>
        <w:t>万元，主要为内蒙古师范大学运转保障项目、驻会人员工资补差项目、附中蒙语寄宿班学生发展工作项目、附中运转保障项目等</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人才工作（草原英才）</w:t>
      </w:r>
      <w:r>
        <w:rPr>
          <w:rFonts w:ascii="仿宋" w:eastAsia="仿宋" w:hAnsi="仿宋" w:cs="仿宋" w:hint="eastAsia"/>
          <w:sz w:val="32"/>
          <w:szCs w:val="32"/>
        </w:rPr>
        <w:t>91.5</w:t>
      </w:r>
      <w:r>
        <w:rPr>
          <w:rFonts w:ascii="仿宋" w:eastAsia="仿宋" w:hAnsi="仿宋" w:cs="仿宋" w:hint="eastAsia"/>
          <w:sz w:val="32"/>
          <w:szCs w:val="32"/>
        </w:rPr>
        <w:t>万元，主要为草原英才专项资金。</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高等教育</w:t>
      </w:r>
      <w:r>
        <w:rPr>
          <w:rFonts w:ascii="仿宋" w:eastAsia="仿宋" w:hAnsi="仿宋" w:cs="仿宋" w:hint="eastAsia"/>
          <w:sz w:val="32"/>
          <w:szCs w:val="32"/>
        </w:rPr>
        <w:t>17563.5</w:t>
      </w:r>
      <w:r>
        <w:rPr>
          <w:rFonts w:ascii="仿宋" w:eastAsia="仿宋" w:hAnsi="仿宋" w:cs="仿宋" w:hint="eastAsia"/>
          <w:sz w:val="32"/>
          <w:szCs w:val="32"/>
        </w:rPr>
        <w:t>万元，主要为高校本科学生奖助学金、高校蒙语授课学生免费补助项目、高等院校质量与教</w:t>
      </w:r>
      <w:r>
        <w:rPr>
          <w:rFonts w:ascii="仿宋" w:eastAsia="仿宋" w:hAnsi="仿宋" w:cs="仿宋" w:hint="eastAsia"/>
          <w:sz w:val="32"/>
          <w:szCs w:val="32"/>
        </w:rPr>
        <w:lastRenderedPageBreak/>
        <w:t>学改革项目、高等院校思想政治建设项目、重点实验室重点学科建设资金、双一流建设资金、支持地方高校改革发展资金、高校研究生奖助学金等。</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其他普通教育</w:t>
      </w:r>
      <w:r>
        <w:rPr>
          <w:rFonts w:ascii="仿宋" w:eastAsia="仿宋" w:hAnsi="仿宋" w:cs="仿宋" w:hint="eastAsia"/>
          <w:sz w:val="32"/>
          <w:szCs w:val="32"/>
        </w:rPr>
        <w:t>8</w:t>
      </w:r>
      <w:r>
        <w:rPr>
          <w:rFonts w:ascii="仿宋" w:eastAsia="仿宋" w:hAnsi="仿宋" w:cs="仿宋" w:hint="eastAsia"/>
          <w:sz w:val="32"/>
          <w:szCs w:val="32"/>
        </w:rPr>
        <w:t>0</w:t>
      </w:r>
      <w:r>
        <w:rPr>
          <w:rFonts w:ascii="仿宋" w:eastAsia="仿宋" w:hAnsi="仿宋" w:cs="仿宋" w:hint="eastAsia"/>
          <w:sz w:val="32"/>
          <w:szCs w:val="32"/>
        </w:rPr>
        <w:t>万元，主要为自治区校园足球试点项目。</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留学教育</w:t>
      </w:r>
      <w:r>
        <w:rPr>
          <w:rFonts w:ascii="仿宋" w:eastAsia="仿宋" w:hAnsi="仿宋" w:cs="仿宋" w:hint="eastAsia"/>
          <w:sz w:val="32"/>
          <w:szCs w:val="32"/>
        </w:rPr>
        <w:t>320</w:t>
      </w:r>
      <w:r>
        <w:rPr>
          <w:rFonts w:ascii="仿宋" w:eastAsia="仿宋" w:hAnsi="仿宋" w:cs="仿宋" w:hint="eastAsia"/>
          <w:sz w:val="32"/>
          <w:szCs w:val="32"/>
        </w:rPr>
        <w:t>万元，主要包括留学生教育项目、蒙古国边防总局专业技术人员培训项目。</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教育培训</w:t>
      </w:r>
      <w:r>
        <w:rPr>
          <w:rFonts w:ascii="仿宋" w:eastAsia="仿宋" w:hAnsi="仿宋" w:cs="仿宋" w:hint="eastAsia"/>
          <w:sz w:val="32"/>
          <w:szCs w:val="32"/>
        </w:rPr>
        <w:t>127.5</w:t>
      </w:r>
      <w:r>
        <w:rPr>
          <w:rFonts w:ascii="仿宋" w:eastAsia="仿宋" w:hAnsi="仿宋" w:cs="仿宋" w:hint="eastAsia"/>
          <w:sz w:val="32"/>
          <w:szCs w:val="32"/>
        </w:rPr>
        <w:t>万元，主要为自治区教师培训专项资金。</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义务教育</w:t>
      </w:r>
      <w:r>
        <w:rPr>
          <w:rFonts w:ascii="仿宋" w:eastAsia="仿宋" w:hAnsi="仿宋" w:cs="仿宋" w:hint="eastAsia"/>
          <w:sz w:val="32"/>
          <w:szCs w:val="32"/>
        </w:rPr>
        <w:t>285</w:t>
      </w:r>
      <w:r>
        <w:rPr>
          <w:rFonts w:ascii="仿宋" w:eastAsia="仿宋" w:hAnsi="仿宋" w:cs="仿宋" w:hint="eastAsia"/>
          <w:sz w:val="32"/>
          <w:szCs w:val="32"/>
        </w:rPr>
        <w:t>万元。主要为城乡义务阶段教育公用经费补助、中小学生活困难补助费、校舍安全保障长效机制等。</w:t>
      </w:r>
    </w:p>
    <w:p w:rsidR="005450DF" w:rsidRDefault="00660093">
      <w:pPr>
        <w:numPr>
          <w:ilvl w:val="0"/>
          <w:numId w:val="2"/>
        </w:numPr>
        <w:spacing w:line="560" w:lineRule="exact"/>
        <w:ind w:firstLine="420"/>
        <w:rPr>
          <w:rFonts w:ascii="仿宋" w:eastAsia="仿宋" w:hAnsi="仿宋" w:cs="仿宋"/>
          <w:sz w:val="32"/>
          <w:szCs w:val="32"/>
        </w:rPr>
      </w:pPr>
      <w:r>
        <w:rPr>
          <w:rFonts w:ascii="仿宋" w:eastAsia="仿宋" w:hAnsi="仿宋" w:cs="仿宋" w:hint="eastAsia"/>
          <w:sz w:val="32"/>
          <w:szCs w:val="32"/>
        </w:rPr>
        <w:t>高中教育</w:t>
      </w:r>
      <w:r>
        <w:rPr>
          <w:rFonts w:ascii="仿宋" w:eastAsia="仿宋" w:hAnsi="仿宋" w:cs="仿宋" w:hint="eastAsia"/>
          <w:sz w:val="32"/>
          <w:szCs w:val="32"/>
        </w:rPr>
        <w:t>1164</w:t>
      </w:r>
      <w:r>
        <w:rPr>
          <w:rFonts w:ascii="仿宋" w:eastAsia="仿宋" w:hAnsi="仿宋" w:cs="仿宋" w:hint="eastAsia"/>
          <w:sz w:val="32"/>
          <w:szCs w:val="32"/>
        </w:rPr>
        <w:t>万元。主要为高中免学费和教科书费、高中家庭经济困难学生高中阶段享受国家助学金、高中公用经费等。</w:t>
      </w:r>
    </w:p>
    <w:p w:rsidR="005450DF" w:rsidRDefault="00660093">
      <w:pPr>
        <w:numPr>
          <w:ilvl w:val="0"/>
          <w:numId w:val="2"/>
        </w:numPr>
        <w:spacing w:line="560" w:lineRule="exact"/>
        <w:ind w:firstLine="420"/>
        <w:rPr>
          <w:rFonts w:ascii="黑体" w:eastAsia="黑体" w:hAnsi="黑体" w:cs="宋体"/>
          <w:color w:val="000000" w:themeColor="text1"/>
          <w:kern w:val="0"/>
          <w:sz w:val="32"/>
          <w:szCs w:val="32"/>
        </w:rPr>
      </w:pPr>
      <w:r>
        <w:rPr>
          <w:rFonts w:ascii="仿宋" w:eastAsia="仿宋" w:hAnsi="仿宋" w:cs="仿宋" w:hint="eastAsia"/>
          <w:sz w:val="32"/>
          <w:szCs w:val="32"/>
        </w:rPr>
        <w:t>民族教育专项</w:t>
      </w:r>
      <w:r>
        <w:rPr>
          <w:rFonts w:ascii="仿宋" w:eastAsia="仿宋" w:hAnsi="仿宋" w:cs="仿宋" w:hint="eastAsia"/>
          <w:sz w:val="32"/>
          <w:szCs w:val="32"/>
        </w:rPr>
        <w:t>35</w:t>
      </w:r>
      <w:r>
        <w:rPr>
          <w:rFonts w:ascii="仿宋" w:eastAsia="仿宋" w:hAnsi="仿宋" w:cs="仿宋" w:hint="eastAsia"/>
          <w:sz w:val="32"/>
          <w:szCs w:val="32"/>
        </w:rPr>
        <w:t>万元。</w:t>
      </w:r>
    </w:p>
    <w:p w:rsidR="005450DF" w:rsidRDefault="00660093">
      <w:pPr>
        <w:widowControl/>
        <w:shd w:val="clear" w:color="auto" w:fill="FFFFFF"/>
        <w:snapToGrid w:val="0"/>
        <w:spacing w:line="560" w:lineRule="exact"/>
        <w:ind w:firstLine="640"/>
        <w:jc w:val="left"/>
        <w:rPr>
          <w:rFonts w:ascii="宋体" w:hAnsi="宋体" w:cs="宋体"/>
          <w:color w:val="000000" w:themeColor="text1"/>
          <w:kern w:val="0"/>
          <w:sz w:val="32"/>
          <w:szCs w:val="32"/>
        </w:rPr>
      </w:pPr>
      <w:r>
        <w:rPr>
          <w:rFonts w:ascii="黑体" w:eastAsia="黑体" w:hAnsi="黑体" w:cs="宋体" w:hint="eastAsia"/>
          <w:color w:val="000000" w:themeColor="text1"/>
          <w:kern w:val="0"/>
          <w:sz w:val="32"/>
          <w:szCs w:val="32"/>
        </w:rPr>
        <w:t>二</w:t>
      </w:r>
      <w:r>
        <w:rPr>
          <w:rFonts w:ascii="黑体" w:eastAsia="黑体" w:hAnsi="黑体" w:cs="宋体" w:hint="eastAsia"/>
          <w:color w:val="000000" w:themeColor="text1"/>
          <w:kern w:val="0"/>
          <w:sz w:val="32"/>
          <w:szCs w:val="32"/>
        </w:rPr>
        <w:t>、政府性基金预算财政拨款支出情况说明</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201</w:t>
      </w:r>
      <w:r>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年无政府性基金财政拨款。</w:t>
      </w:r>
    </w:p>
    <w:p w:rsidR="005450DF" w:rsidRDefault="00660093">
      <w:pPr>
        <w:widowControl/>
        <w:shd w:val="clear" w:color="auto" w:fill="FFFFFF"/>
        <w:snapToGrid w:val="0"/>
        <w:spacing w:line="560" w:lineRule="exact"/>
        <w:ind w:firstLine="640"/>
        <w:jc w:val="left"/>
        <w:rPr>
          <w:rFonts w:ascii="宋体" w:hAnsi="宋体" w:cs="宋体"/>
          <w:color w:val="000000" w:themeColor="text1"/>
          <w:kern w:val="0"/>
          <w:sz w:val="32"/>
          <w:szCs w:val="32"/>
        </w:rPr>
      </w:pPr>
      <w:r>
        <w:rPr>
          <w:rFonts w:ascii="黑体" w:eastAsia="黑体" w:hAnsi="黑体" w:cs="宋体" w:hint="eastAsia"/>
          <w:color w:val="000000" w:themeColor="text1"/>
          <w:kern w:val="0"/>
          <w:sz w:val="32"/>
          <w:szCs w:val="32"/>
        </w:rPr>
        <w:t>三</w:t>
      </w:r>
      <w:r>
        <w:rPr>
          <w:rFonts w:ascii="黑体" w:eastAsia="黑体" w:hAnsi="黑体" w:cs="宋体" w:hint="eastAsia"/>
          <w:color w:val="000000" w:themeColor="text1"/>
          <w:kern w:val="0"/>
          <w:sz w:val="32"/>
          <w:szCs w:val="32"/>
        </w:rPr>
        <w:t>、财政拨款“三公”经费预算情况说明</w:t>
      </w:r>
    </w:p>
    <w:p w:rsidR="005450DF" w:rsidRDefault="00660093">
      <w:pPr>
        <w:widowControl/>
        <w:shd w:val="clear" w:color="auto" w:fill="FFFFFF"/>
        <w:snapToGrid w:val="0"/>
        <w:spacing w:line="560" w:lineRule="exact"/>
        <w:ind w:firstLine="640"/>
        <w:jc w:val="left"/>
        <w:rPr>
          <w:rFonts w:ascii="仿宋" w:eastAsia="仿宋" w:hAnsi="仿宋"/>
          <w:color w:val="000000" w:themeColor="text1"/>
          <w:sz w:val="32"/>
          <w:szCs w:val="32"/>
        </w:rPr>
      </w:pPr>
      <w:r>
        <w:rPr>
          <w:rFonts w:ascii="仿宋" w:eastAsia="仿宋" w:hAnsi="仿宋" w:cs="宋体" w:hint="eastAsia"/>
          <w:color w:val="000000" w:themeColor="text1"/>
          <w:kern w:val="0"/>
          <w:sz w:val="32"/>
          <w:szCs w:val="32"/>
        </w:rPr>
        <w:t>201</w:t>
      </w:r>
      <w:r>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年，内蒙古师范大学财政拨款“三公”经费支出预算</w:t>
      </w:r>
      <w:r>
        <w:rPr>
          <w:rFonts w:ascii="仿宋" w:eastAsia="仿宋" w:hAnsi="仿宋" w:cs="宋体" w:hint="eastAsia"/>
          <w:color w:val="000000" w:themeColor="text1"/>
          <w:kern w:val="0"/>
          <w:sz w:val="32"/>
          <w:szCs w:val="32"/>
        </w:rPr>
        <w:t>229.22</w:t>
      </w:r>
      <w:r>
        <w:rPr>
          <w:rFonts w:ascii="仿宋" w:eastAsia="仿宋" w:hAnsi="仿宋" w:cs="宋体" w:hint="eastAsia"/>
          <w:color w:val="000000" w:themeColor="text1"/>
          <w:kern w:val="0"/>
          <w:sz w:val="32"/>
          <w:szCs w:val="32"/>
        </w:rPr>
        <w:t>万元，全部为</w:t>
      </w:r>
      <w:r>
        <w:rPr>
          <w:rFonts w:ascii="仿宋" w:eastAsia="仿宋" w:hAnsi="仿宋" w:hint="eastAsia"/>
          <w:color w:val="000000" w:themeColor="text1"/>
          <w:sz w:val="32"/>
          <w:szCs w:val="32"/>
        </w:rPr>
        <w:t>因公出国（境）费用，比上年增加</w:t>
      </w:r>
      <w:r>
        <w:rPr>
          <w:rFonts w:ascii="仿宋" w:eastAsia="仿宋" w:hAnsi="仿宋" w:hint="eastAsia"/>
          <w:color w:val="000000" w:themeColor="text1"/>
          <w:sz w:val="32"/>
          <w:szCs w:val="32"/>
        </w:rPr>
        <w:t>174.22</w:t>
      </w:r>
      <w:r>
        <w:rPr>
          <w:rFonts w:ascii="仿宋" w:eastAsia="仿宋" w:hAnsi="仿宋" w:hint="eastAsia"/>
          <w:color w:val="000000" w:themeColor="text1"/>
          <w:sz w:val="32"/>
          <w:szCs w:val="32"/>
        </w:rPr>
        <w:t>万元，增加原因</w:t>
      </w:r>
      <w:r>
        <w:rPr>
          <w:rFonts w:ascii="仿宋" w:eastAsia="仿宋" w:hAnsi="仿宋" w:hint="eastAsia"/>
          <w:color w:val="000000" w:themeColor="text1"/>
          <w:sz w:val="32"/>
          <w:szCs w:val="32"/>
        </w:rPr>
        <w:t>如下</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财政核拨的重点实验室重点学科建设资金专项资金新增安排了国际学术会议交流支出</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，高等院校质量与教学改革项目</w:t>
      </w:r>
      <w:r>
        <w:rPr>
          <w:rFonts w:ascii="仿宋" w:eastAsia="仿宋" w:hAnsi="仿宋" w:hint="eastAsia"/>
          <w:color w:val="000000" w:themeColor="text1"/>
          <w:sz w:val="32"/>
          <w:szCs w:val="32"/>
        </w:rPr>
        <w:t>新增安排了国际学术会议交流支出</w:t>
      </w:r>
      <w:r>
        <w:rPr>
          <w:rFonts w:ascii="仿宋" w:eastAsia="仿宋" w:hAnsi="仿宋" w:hint="eastAsia"/>
          <w:color w:val="000000" w:themeColor="text1"/>
          <w:sz w:val="32"/>
          <w:szCs w:val="32"/>
        </w:rPr>
        <w:t>25</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，支持地方高校改革发展资金</w:t>
      </w:r>
      <w:r>
        <w:rPr>
          <w:rFonts w:ascii="仿宋" w:eastAsia="仿宋" w:hAnsi="仿宋" w:hint="eastAsia"/>
          <w:color w:val="000000" w:themeColor="text1"/>
          <w:sz w:val="32"/>
          <w:szCs w:val="32"/>
        </w:rPr>
        <w:t>新增安排</w:t>
      </w:r>
      <w:r>
        <w:rPr>
          <w:rFonts w:ascii="仿宋" w:eastAsia="仿宋" w:hAnsi="仿宋" w:hint="eastAsia"/>
          <w:color w:val="000000" w:themeColor="text1"/>
          <w:sz w:val="32"/>
          <w:szCs w:val="32"/>
        </w:rPr>
        <w:lastRenderedPageBreak/>
        <w:t>了国际学术会议交流支出</w:t>
      </w:r>
      <w:r>
        <w:rPr>
          <w:rFonts w:ascii="仿宋" w:eastAsia="仿宋" w:hAnsi="仿宋" w:hint="eastAsia"/>
          <w:color w:val="000000" w:themeColor="text1"/>
          <w:sz w:val="32"/>
          <w:szCs w:val="32"/>
        </w:rPr>
        <w:t>114</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，双一流建设资金</w:t>
      </w:r>
      <w:r>
        <w:rPr>
          <w:rFonts w:ascii="仿宋" w:eastAsia="仿宋" w:hAnsi="仿宋" w:hint="eastAsia"/>
          <w:color w:val="000000" w:themeColor="text1"/>
          <w:sz w:val="32"/>
          <w:szCs w:val="32"/>
        </w:rPr>
        <w:t>新增安排了国际学术会议交流支出</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，留学生教育项目</w:t>
      </w:r>
      <w:r>
        <w:rPr>
          <w:rFonts w:ascii="仿宋" w:eastAsia="仿宋" w:hAnsi="仿宋" w:hint="eastAsia"/>
          <w:color w:val="000000" w:themeColor="text1"/>
          <w:sz w:val="32"/>
          <w:szCs w:val="32"/>
        </w:rPr>
        <w:t>新增安排了国际学术会议交流支出</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，自治区校园足球试点项目</w:t>
      </w:r>
      <w:r>
        <w:rPr>
          <w:rFonts w:ascii="仿宋" w:eastAsia="仿宋" w:hAnsi="仿宋" w:hint="eastAsia"/>
          <w:color w:val="000000" w:themeColor="text1"/>
          <w:sz w:val="32"/>
          <w:szCs w:val="32"/>
        </w:rPr>
        <w:t>新增安排了国际学术会议交流支出</w:t>
      </w:r>
      <w:r>
        <w:rPr>
          <w:rFonts w:ascii="仿宋" w:eastAsia="仿宋" w:hAnsi="仿宋" w:hint="eastAsia"/>
          <w:color w:val="000000" w:themeColor="text1"/>
          <w:sz w:val="32"/>
          <w:szCs w:val="32"/>
        </w:rPr>
        <w:t>10.22</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w:t>
      </w:r>
    </w:p>
    <w:p w:rsidR="005450DF" w:rsidRDefault="005450DF">
      <w:pPr>
        <w:adjustRightInd w:val="0"/>
        <w:snapToGrid w:val="0"/>
        <w:spacing w:line="560" w:lineRule="exact"/>
        <w:jc w:val="center"/>
        <w:rPr>
          <w:rFonts w:ascii="楷体_GB2312" w:eastAsia="楷体_GB2312" w:hAnsi="黑体"/>
          <w:b/>
          <w:color w:val="000000"/>
          <w:sz w:val="36"/>
          <w:szCs w:val="36"/>
        </w:rPr>
      </w:pPr>
    </w:p>
    <w:p w:rsidR="005450DF" w:rsidRDefault="00660093">
      <w:pPr>
        <w:adjustRightInd w:val="0"/>
        <w:snapToGrid w:val="0"/>
        <w:spacing w:line="560" w:lineRule="exact"/>
        <w:rPr>
          <w:rFonts w:ascii="楷体_GB2312" w:eastAsia="楷体_GB2312" w:hAnsi="黑体"/>
          <w:b/>
          <w:color w:val="000000"/>
          <w:sz w:val="36"/>
          <w:szCs w:val="36"/>
        </w:rPr>
      </w:pPr>
      <w:r>
        <w:rPr>
          <w:rFonts w:ascii="楷体_GB2312" w:eastAsia="楷体_GB2312" w:hAnsi="黑体" w:hint="eastAsia"/>
          <w:b/>
          <w:color w:val="000000"/>
          <w:sz w:val="36"/>
          <w:szCs w:val="36"/>
        </w:rPr>
        <w:t xml:space="preserve">       </w:t>
      </w:r>
      <w:r>
        <w:rPr>
          <w:rFonts w:ascii="楷体_GB2312" w:eastAsia="楷体_GB2312" w:hAnsi="黑体" w:hint="eastAsia"/>
          <w:b/>
          <w:color w:val="000000"/>
          <w:sz w:val="36"/>
          <w:szCs w:val="36"/>
        </w:rPr>
        <w:t>第三部分</w:t>
      </w:r>
      <w:r>
        <w:rPr>
          <w:rFonts w:ascii="楷体_GB2312" w:eastAsia="楷体_GB2312" w:hAnsi="黑体" w:hint="eastAsia"/>
          <w:b/>
          <w:color w:val="000000"/>
          <w:sz w:val="36"/>
          <w:szCs w:val="36"/>
        </w:rPr>
        <w:t xml:space="preserve">  </w:t>
      </w:r>
      <w:r>
        <w:rPr>
          <w:rFonts w:ascii="楷体_GB2312" w:eastAsia="楷体_GB2312" w:hAnsi="黑体" w:hint="eastAsia"/>
          <w:b/>
          <w:color w:val="000000"/>
          <w:sz w:val="36"/>
          <w:szCs w:val="36"/>
        </w:rPr>
        <w:t>其他公开事项说明</w:t>
      </w:r>
    </w:p>
    <w:p w:rsidR="005450DF" w:rsidRDefault="005450DF">
      <w:pPr>
        <w:adjustRightInd w:val="0"/>
        <w:snapToGrid w:val="0"/>
        <w:spacing w:line="560" w:lineRule="exact"/>
        <w:rPr>
          <w:rFonts w:ascii="楷体_GB2312" w:eastAsia="楷体_GB2312" w:hAnsi="黑体"/>
          <w:b/>
          <w:color w:val="000000"/>
          <w:sz w:val="36"/>
          <w:szCs w:val="36"/>
        </w:rPr>
      </w:pPr>
    </w:p>
    <w:p w:rsidR="005450DF" w:rsidRDefault="00660093">
      <w:pPr>
        <w:widowControl/>
        <w:shd w:val="clear" w:color="auto" w:fill="FFFFFF"/>
        <w:snapToGrid w:val="0"/>
        <w:spacing w:line="560" w:lineRule="exact"/>
        <w:ind w:firstLine="640"/>
        <w:jc w:val="left"/>
        <w:rPr>
          <w:rFonts w:ascii="宋体" w:hAnsi="宋体" w:cs="宋体"/>
          <w:color w:val="000000" w:themeColor="text1"/>
          <w:kern w:val="0"/>
          <w:sz w:val="32"/>
          <w:szCs w:val="32"/>
        </w:rPr>
      </w:pPr>
      <w:r>
        <w:rPr>
          <w:rFonts w:ascii="黑体" w:eastAsia="黑体" w:hAnsi="黑体" w:cs="宋体" w:hint="eastAsia"/>
          <w:color w:val="000000" w:themeColor="text1"/>
          <w:kern w:val="0"/>
          <w:sz w:val="32"/>
          <w:szCs w:val="32"/>
        </w:rPr>
        <w:t>一、政府采购预算情况说明</w:t>
      </w:r>
    </w:p>
    <w:p w:rsidR="005450DF" w:rsidRDefault="00660093">
      <w:pPr>
        <w:widowControl/>
        <w:shd w:val="clear" w:color="auto" w:fill="FFFFFF"/>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201</w:t>
      </w:r>
      <w:r>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年，内蒙古师范大学</w:t>
      </w:r>
      <w:r>
        <w:rPr>
          <w:rFonts w:ascii="仿宋" w:eastAsia="仿宋" w:hAnsi="仿宋" w:cs="宋体" w:hint="eastAsia"/>
          <w:color w:val="000000" w:themeColor="text1"/>
          <w:kern w:val="0"/>
          <w:sz w:val="32"/>
          <w:szCs w:val="32"/>
        </w:rPr>
        <w:t>本级</w:t>
      </w:r>
      <w:r>
        <w:rPr>
          <w:rFonts w:ascii="仿宋" w:eastAsia="仿宋" w:hAnsi="仿宋" w:cs="宋体" w:hint="eastAsia"/>
          <w:color w:val="000000" w:themeColor="text1"/>
          <w:kern w:val="0"/>
          <w:sz w:val="32"/>
          <w:szCs w:val="32"/>
        </w:rPr>
        <w:t>政府采购预算总额</w:t>
      </w:r>
      <w:r>
        <w:rPr>
          <w:rFonts w:ascii="仿宋" w:eastAsia="仿宋" w:hAnsi="仿宋" w:cs="宋体" w:hint="eastAsia"/>
          <w:color w:val="000000" w:themeColor="text1"/>
          <w:kern w:val="0"/>
          <w:sz w:val="32"/>
          <w:szCs w:val="32"/>
        </w:rPr>
        <w:t>44720</w:t>
      </w:r>
      <w:r>
        <w:rPr>
          <w:rFonts w:ascii="仿宋" w:eastAsia="仿宋" w:hAnsi="仿宋" w:cs="宋体" w:hint="eastAsia"/>
          <w:color w:val="000000" w:themeColor="text1"/>
          <w:kern w:val="0"/>
          <w:sz w:val="32"/>
          <w:szCs w:val="32"/>
        </w:rPr>
        <w:t>万元，其中：政府采购货物预算</w:t>
      </w:r>
      <w:r>
        <w:rPr>
          <w:rFonts w:ascii="仿宋" w:eastAsia="仿宋" w:hAnsi="仿宋" w:cs="宋体" w:hint="eastAsia"/>
          <w:color w:val="000000" w:themeColor="text1"/>
          <w:kern w:val="0"/>
          <w:sz w:val="32"/>
          <w:szCs w:val="32"/>
        </w:rPr>
        <w:t>21513</w:t>
      </w:r>
      <w:r>
        <w:rPr>
          <w:rFonts w:ascii="仿宋" w:eastAsia="仿宋" w:hAnsi="仿宋" w:cs="宋体" w:hint="eastAsia"/>
          <w:color w:val="000000" w:themeColor="text1"/>
          <w:kern w:val="0"/>
          <w:sz w:val="32"/>
          <w:szCs w:val="32"/>
        </w:rPr>
        <w:t>万元，政府采购工程预算</w:t>
      </w:r>
      <w:r>
        <w:rPr>
          <w:rFonts w:ascii="仿宋" w:eastAsia="仿宋" w:hAnsi="仿宋" w:cs="宋体" w:hint="eastAsia"/>
          <w:color w:val="000000" w:themeColor="text1"/>
          <w:kern w:val="0"/>
          <w:sz w:val="32"/>
          <w:szCs w:val="32"/>
        </w:rPr>
        <w:t>19951</w:t>
      </w:r>
      <w:r>
        <w:rPr>
          <w:rFonts w:ascii="仿宋" w:eastAsia="仿宋" w:hAnsi="仿宋" w:cs="宋体" w:hint="eastAsia"/>
          <w:color w:val="000000" w:themeColor="text1"/>
          <w:kern w:val="0"/>
          <w:sz w:val="32"/>
          <w:szCs w:val="32"/>
        </w:rPr>
        <w:t>万元，政府采购服务预算</w:t>
      </w:r>
      <w:r>
        <w:rPr>
          <w:rFonts w:ascii="仿宋" w:eastAsia="仿宋" w:hAnsi="仿宋" w:cs="宋体" w:hint="eastAsia"/>
          <w:color w:val="000000" w:themeColor="text1"/>
          <w:kern w:val="0"/>
          <w:sz w:val="32"/>
          <w:szCs w:val="32"/>
        </w:rPr>
        <w:t>3256</w:t>
      </w:r>
      <w:r>
        <w:rPr>
          <w:rFonts w:ascii="仿宋" w:eastAsia="仿宋" w:hAnsi="仿宋" w:cs="宋体" w:hint="eastAsia"/>
          <w:color w:val="000000" w:themeColor="text1"/>
          <w:kern w:val="0"/>
          <w:sz w:val="32"/>
          <w:szCs w:val="32"/>
        </w:rPr>
        <w:t>万元。</w:t>
      </w:r>
    </w:p>
    <w:p w:rsidR="005450DF" w:rsidRDefault="00660093">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二、国有资产占有使用情况说明</w:t>
      </w:r>
    </w:p>
    <w:p w:rsidR="005450DF" w:rsidRDefault="00660093">
      <w:pPr>
        <w:snapToGrid w:val="0"/>
        <w:spacing w:line="560" w:lineRule="exact"/>
        <w:ind w:firstLineChars="200" w:firstLine="640"/>
        <w:rPr>
          <w:rFonts w:ascii="仿宋" w:eastAsia="仿宋" w:hAnsi="仿宋" w:cs="宋体"/>
          <w:color w:val="000000"/>
          <w:kern w:val="0"/>
          <w:sz w:val="32"/>
          <w:szCs w:val="32"/>
        </w:rPr>
      </w:pPr>
      <w:r>
        <w:rPr>
          <w:rFonts w:ascii="仿宋" w:eastAsia="仿宋" w:hAnsi="仿宋" w:hint="eastAsia"/>
          <w:color w:val="000000"/>
          <w:sz w:val="32"/>
          <w:szCs w:val="32"/>
        </w:rPr>
        <w:t>截至</w:t>
      </w:r>
      <w:r>
        <w:rPr>
          <w:rFonts w:ascii="仿宋" w:eastAsia="仿宋" w:hAnsi="仿宋" w:hint="eastAsia"/>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年末，共有房屋</w:t>
      </w:r>
      <w:r>
        <w:rPr>
          <w:rFonts w:ascii="仿宋" w:eastAsia="仿宋" w:hAnsi="仿宋" w:hint="eastAsia"/>
          <w:color w:val="000000"/>
          <w:sz w:val="32"/>
          <w:szCs w:val="32"/>
        </w:rPr>
        <w:t>80</w:t>
      </w:r>
      <w:r w:rsidR="00DB10A1">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7</w:t>
      </w:r>
      <w:bookmarkStart w:id="0" w:name="_GoBack"/>
      <w:bookmarkEnd w:id="0"/>
      <w:r>
        <w:rPr>
          <w:rFonts w:ascii="仿宋" w:eastAsia="仿宋" w:hAnsi="仿宋" w:hint="eastAsia"/>
          <w:color w:val="000000"/>
          <w:sz w:val="32"/>
          <w:szCs w:val="32"/>
        </w:rPr>
        <w:t>万平米，其中办公用房</w:t>
      </w:r>
      <w:r>
        <w:rPr>
          <w:rFonts w:ascii="仿宋" w:eastAsia="仿宋" w:hAnsi="仿宋" w:hint="eastAsia"/>
          <w:color w:val="000000"/>
          <w:sz w:val="32"/>
          <w:szCs w:val="32"/>
        </w:rPr>
        <w:t>5.04</w:t>
      </w:r>
      <w:r>
        <w:rPr>
          <w:rFonts w:ascii="仿宋" w:eastAsia="仿宋" w:hAnsi="仿宋" w:hint="eastAsia"/>
          <w:color w:val="000000"/>
          <w:sz w:val="32"/>
          <w:szCs w:val="32"/>
        </w:rPr>
        <w:t>万平方米，业务用房为</w:t>
      </w:r>
      <w:r>
        <w:rPr>
          <w:rFonts w:ascii="仿宋" w:eastAsia="仿宋" w:hAnsi="仿宋" w:hint="eastAsia"/>
          <w:color w:val="000000"/>
          <w:sz w:val="32"/>
          <w:szCs w:val="32"/>
        </w:rPr>
        <w:t>38.54</w:t>
      </w:r>
      <w:r>
        <w:rPr>
          <w:rFonts w:ascii="仿宋" w:eastAsia="仿宋" w:hAnsi="仿宋" w:hint="eastAsia"/>
          <w:color w:val="000000"/>
          <w:sz w:val="32"/>
          <w:szCs w:val="32"/>
        </w:rPr>
        <w:t>万平方米，其他用房为</w:t>
      </w:r>
      <w:r>
        <w:rPr>
          <w:rFonts w:ascii="仿宋" w:eastAsia="仿宋" w:hAnsi="仿宋" w:hint="eastAsia"/>
          <w:color w:val="000000"/>
          <w:sz w:val="32"/>
          <w:szCs w:val="32"/>
        </w:rPr>
        <w:t>36.69</w:t>
      </w:r>
      <w:r>
        <w:rPr>
          <w:rFonts w:ascii="仿宋" w:eastAsia="仿宋" w:hAnsi="仿宋" w:hint="eastAsia"/>
          <w:color w:val="000000"/>
          <w:sz w:val="32"/>
          <w:szCs w:val="32"/>
        </w:rPr>
        <w:t>万平方米，价值合计为</w:t>
      </w:r>
      <w:r>
        <w:rPr>
          <w:rFonts w:ascii="仿宋" w:eastAsia="仿宋" w:hAnsi="仿宋" w:hint="eastAsia"/>
          <w:color w:val="000000"/>
          <w:sz w:val="32"/>
          <w:szCs w:val="32"/>
        </w:rPr>
        <w:t>158914.99</w:t>
      </w:r>
      <w:r>
        <w:rPr>
          <w:rFonts w:ascii="仿宋" w:eastAsia="仿宋" w:hAnsi="仿宋" w:hint="eastAsia"/>
          <w:color w:val="000000"/>
          <w:sz w:val="32"/>
          <w:szCs w:val="32"/>
        </w:rPr>
        <w:t>万元；车辆共有</w:t>
      </w:r>
      <w:r>
        <w:rPr>
          <w:rFonts w:ascii="仿宋" w:eastAsia="仿宋" w:hAnsi="仿宋" w:hint="eastAsia"/>
          <w:color w:val="000000"/>
          <w:sz w:val="32"/>
          <w:szCs w:val="32"/>
        </w:rPr>
        <w:t>74</w:t>
      </w:r>
      <w:r>
        <w:rPr>
          <w:rFonts w:ascii="仿宋" w:eastAsia="仿宋" w:hAnsi="仿宋" w:hint="eastAsia"/>
          <w:color w:val="000000"/>
          <w:sz w:val="32"/>
          <w:szCs w:val="32"/>
        </w:rPr>
        <w:t>辆，其中轿车</w:t>
      </w:r>
      <w:r>
        <w:rPr>
          <w:rFonts w:ascii="仿宋" w:eastAsia="仿宋" w:hAnsi="仿宋" w:hint="eastAsia"/>
          <w:color w:val="000000"/>
          <w:sz w:val="32"/>
          <w:szCs w:val="32"/>
        </w:rPr>
        <w:t>16</w:t>
      </w:r>
      <w:r>
        <w:rPr>
          <w:rFonts w:ascii="仿宋" w:eastAsia="仿宋" w:hAnsi="仿宋" w:hint="eastAsia"/>
          <w:color w:val="000000"/>
          <w:sz w:val="32"/>
          <w:szCs w:val="32"/>
        </w:rPr>
        <w:t>辆，越野车</w:t>
      </w:r>
      <w:r>
        <w:rPr>
          <w:rFonts w:ascii="仿宋" w:eastAsia="仿宋" w:hAnsi="仿宋" w:hint="eastAsia"/>
          <w:color w:val="000000"/>
          <w:sz w:val="32"/>
          <w:szCs w:val="32"/>
        </w:rPr>
        <w:t>3</w:t>
      </w:r>
      <w:r>
        <w:rPr>
          <w:rFonts w:ascii="仿宋" w:eastAsia="仿宋" w:hAnsi="仿宋" w:hint="eastAsia"/>
          <w:color w:val="000000"/>
          <w:sz w:val="32"/>
          <w:szCs w:val="32"/>
        </w:rPr>
        <w:t>辆，小型载客汽车</w:t>
      </w:r>
      <w:r>
        <w:rPr>
          <w:rFonts w:ascii="仿宋" w:eastAsia="仿宋" w:hAnsi="仿宋" w:hint="eastAsia"/>
          <w:color w:val="000000"/>
          <w:sz w:val="32"/>
          <w:szCs w:val="32"/>
        </w:rPr>
        <w:t>17</w:t>
      </w:r>
      <w:r>
        <w:rPr>
          <w:rFonts w:ascii="仿宋" w:eastAsia="仿宋" w:hAnsi="仿宋" w:hint="eastAsia"/>
          <w:color w:val="000000"/>
          <w:sz w:val="32"/>
          <w:szCs w:val="32"/>
        </w:rPr>
        <w:t>辆，大中型载客汽车</w:t>
      </w:r>
      <w:r>
        <w:rPr>
          <w:rFonts w:ascii="仿宋" w:eastAsia="仿宋" w:hAnsi="仿宋" w:hint="eastAsia"/>
          <w:color w:val="000000"/>
          <w:sz w:val="32"/>
          <w:szCs w:val="32"/>
        </w:rPr>
        <w:t>22</w:t>
      </w:r>
      <w:r>
        <w:rPr>
          <w:rFonts w:ascii="仿宋" w:eastAsia="仿宋" w:hAnsi="仿宋" w:hint="eastAsia"/>
          <w:color w:val="000000"/>
          <w:sz w:val="32"/>
          <w:szCs w:val="32"/>
        </w:rPr>
        <w:t>辆，其他车型</w:t>
      </w:r>
      <w:r>
        <w:rPr>
          <w:rFonts w:ascii="仿宋" w:eastAsia="仿宋" w:hAnsi="仿宋" w:hint="eastAsia"/>
          <w:color w:val="000000"/>
          <w:sz w:val="32"/>
          <w:szCs w:val="32"/>
        </w:rPr>
        <w:t>16</w:t>
      </w:r>
      <w:r>
        <w:rPr>
          <w:rFonts w:ascii="仿宋" w:eastAsia="仿宋" w:hAnsi="仿宋" w:hint="eastAsia"/>
          <w:color w:val="000000"/>
          <w:sz w:val="32"/>
          <w:szCs w:val="32"/>
        </w:rPr>
        <w:t>辆，价值合计为</w:t>
      </w:r>
      <w:r>
        <w:rPr>
          <w:rFonts w:ascii="仿宋" w:eastAsia="仿宋" w:hAnsi="仿宋" w:hint="eastAsia"/>
          <w:color w:val="000000"/>
          <w:sz w:val="32"/>
          <w:szCs w:val="32"/>
        </w:rPr>
        <w:t>1872.27</w:t>
      </w:r>
      <w:r>
        <w:rPr>
          <w:rFonts w:ascii="仿宋" w:eastAsia="仿宋" w:hAnsi="仿宋" w:hint="eastAsia"/>
          <w:color w:val="000000"/>
          <w:sz w:val="32"/>
          <w:szCs w:val="32"/>
        </w:rPr>
        <w:t>万元；单价</w:t>
      </w:r>
      <w:r>
        <w:rPr>
          <w:rFonts w:ascii="仿宋" w:eastAsia="仿宋" w:hAnsi="仿宋" w:hint="eastAsia"/>
          <w:color w:val="000000"/>
          <w:sz w:val="32"/>
          <w:szCs w:val="32"/>
        </w:rPr>
        <w:t>50</w:t>
      </w:r>
      <w:r>
        <w:rPr>
          <w:rFonts w:ascii="仿宋" w:eastAsia="仿宋" w:hAnsi="仿宋" w:hint="eastAsia"/>
          <w:color w:val="000000"/>
          <w:sz w:val="32"/>
          <w:szCs w:val="32"/>
        </w:rPr>
        <w:t>万元（含）以上的通用设备（台、套…）</w:t>
      </w:r>
      <w:r>
        <w:rPr>
          <w:rFonts w:ascii="仿宋" w:eastAsia="仿宋" w:hAnsi="仿宋" w:hint="eastAsia"/>
          <w:color w:val="000000"/>
          <w:sz w:val="32"/>
          <w:szCs w:val="32"/>
        </w:rPr>
        <w:t>84</w:t>
      </w:r>
      <w:r>
        <w:rPr>
          <w:rFonts w:ascii="仿宋" w:eastAsia="仿宋" w:hAnsi="仿宋" w:hint="eastAsia"/>
          <w:color w:val="000000"/>
          <w:sz w:val="32"/>
          <w:szCs w:val="32"/>
        </w:rPr>
        <w:t>台（套），价值为</w:t>
      </w:r>
      <w:r>
        <w:rPr>
          <w:rFonts w:ascii="仿宋" w:eastAsia="仿宋" w:hAnsi="仿宋" w:hint="eastAsia"/>
          <w:color w:val="000000"/>
          <w:sz w:val="32"/>
          <w:szCs w:val="32"/>
        </w:rPr>
        <w:t>9040.41</w:t>
      </w:r>
      <w:r>
        <w:rPr>
          <w:rFonts w:ascii="仿宋" w:eastAsia="仿宋" w:hAnsi="仿宋" w:hint="eastAsia"/>
          <w:color w:val="000000"/>
          <w:sz w:val="32"/>
          <w:szCs w:val="32"/>
        </w:rPr>
        <w:t>万元，单价</w:t>
      </w:r>
      <w:r>
        <w:rPr>
          <w:rFonts w:ascii="仿宋" w:eastAsia="仿宋" w:hAnsi="仿宋" w:hint="eastAsia"/>
          <w:color w:val="000000"/>
          <w:sz w:val="32"/>
          <w:szCs w:val="32"/>
        </w:rPr>
        <w:t>100</w:t>
      </w:r>
      <w:r>
        <w:rPr>
          <w:rFonts w:ascii="仿宋" w:eastAsia="仿宋" w:hAnsi="仿宋" w:hint="eastAsia"/>
          <w:color w:val="000000"/>
          <w:sz w:val="32"/>
          <w:szCs w:val="32"/>
        </w:rPr>
        <w:t>万元（含）以上的专用设备（台、套…）</w:t>
      </w:r>
      <w:r>
        <w:rPr>
          <w:rFonts w:ascii="仿宋" w:eastAsia="仿宋" w:hAnsi="仿宋" w:hint="eastAsia"/>
          <w:color w:val="000000"/>
          <w:sz w:val="32"/>
          <w:szCs w:val="32"/>
        </w:rPr>
        <w:t>7</w:t>
      </w:r>
      <w:r>
        <w:rPr>
          <w:rFonts w:ascii="仿宋" w:eastAsia="仿宋" w:hAnsi="仿宋" w:hint="eastAsia"/>
          <w:color w:val="000000"/>
          <w:sz w:val="32"/>
          <w:szCs w:val="32"/>
        </w:rPr>
        <w:t>台（套），价值为</w:t>
      </w:r>
      <w:r>
        <w:rPr>
          <w:rFonts w:ascii="仿宋" w:eastAsia="仿宋" w:hAnsi="仿宋" w:hint="eastAsia"/>
          <w:color w:val="000000"/>
          <w:sz w:val="32"/>
          <w:szCs w:val="32"/>
        </w:rPr>
        <w:t>1281.35</w:t>
      </w:r>
      <w:r>
        <w:rPr>
          <w:rFonts w:ascii="仿宋" w:eastAsia="仿宋" w:hAnsi="仿宋" w:hint="eastAsia"/>
          <w:color w:val="000000"/>
          <w:sz w:val="32"/>
          <w:szCs w:val="32"/>
        </w:rPr>
        <w:t>万元，其他固定资产价值合计为</w:t>
      </w:r>
      <w:r>
        <w:rPr>
          <w:rFonts w:ascii="仿宋" w:eastAsia="仿宋" w:hAnsi="仿宋" w:hint="eastAsia"/>
          <w:color w:val="000000"/>
          <w:sz w:val="32"/>
          <w:szCs w:val="32"/>
        </w:rPr>
        <w:t>115805.33</w:t>
      </w:r>
      <w:r>
        <w:rPr>
          <w:rFonts w:ascii="仿宋" w:eastAsia="仿宋" w:hAnsi="仿宋" w:hint="eastAsia"/>
          <w:color w:val="000000"/>
          <w:sz w:val="32"/>
          <w:szCs w:val="32"/>
        </w:rPr>
        <w:t>万元。</w:t>
      </w:r>
    </w:p>
    <w:p w:rsidR="005450DF" w:rsidRDefault="00660093">
      <w:pPr>
        <w:widowControl/>
        <w:shd w:val="clear" w:color="auto" w:fill="FFFFFF"/>
        <w:snapToGrid w:val="0"/>
        <w:spacing w:line="560" w:lineRule="exact"/>
        <w:ind w:firstLine="640"/>
        <w:jc w:val="left"/>
        <w:rPr>
          <w:rFonts w:ascii="宋体" w:hAnsi="宋体" w:cs="宋体"/>
          <w:color w:val="000000" w:themeColor="text1"/>
          <w:kern w:val="0"/>
          <w:sz w:val="32"/>
          <w:szCs w:val="32"/>
        </w:rPr>
      </w:pPr>
      <w:r>
        <w:rPr>
          <w:rFonts w:ascii="黑体" w:eastAsia="黑体" w:hAnsi="黑体" w:cs="宋体" w:hint="eastAsia"/>
          <w:color w:val="000000" w:themeColor="text1"/>
          <w:kern w:val="0"/>
          <w:sz w:val="32"/>
          <w:szCs w:val="32"/>
        </w:rPr>
        <w:t>三、绩效目标设置情况说明</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根据</w:t>
      </w:r>
      <w:r>
        <w:rPr>
          <w:rFonts w:ascii="仿宋" w:eastAsia="仿宋" w:hAnsi="仿宋" w:cs="宋体" w:hint="eastAsia"/>
          <w:color w:val="000000" w:themeColor="text1"/>
          <w:kern w:val="0"/>
          <w:sz w:val="32"/>
          <w:szCs w:val="32"/>
        </w:rPr>
        <w:t>201</w:t>
      </w:r>
      <w:r>
        <w:rPr>
          <w:rFonts w:ascii="仿宋" w:eastAsia="仿宋" w:hAnsi="仿宋" w:cs="宋体" w:hint="eastAsia"/>
          <w:color w:val="000000" w:themeColor="text1"/>
          <w:kern w:val="0"/>
          <w:sz w:val="32"/>
          <w:szCs w:val="32"/>
        </w:rPr>
        <w:t>9</w:t>
      </w:r>
      <w:r>
        <w:rPr>
          <w:rFonts w:ascii="仿宋" w:eastAsia="仿宋" w:hAnsi="仿宋" w:cs="宋体" w:hint="eastAsia"/>
          <w:color w:val="000000" w:themeColor="text1"/>
          <w:kern w:val="0"/>
          <w:sz w:val="32"/>
          <w:szCs w:val="32"/>
        </w:rPr>
        <w:t>年部门预算编制要求，对重点项目预算的绩效目标进行公开：</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（一）高等教育专项资金绩效目标</w:t>
      </w:r>
    </w:p>
    <w:p w:rsidR="005450DF" w:rsidRDefault="00660093">
      <w:pPr>
        <w:keepLines/>
        <w:widowControl/>
        <w:shd w:val="clear" w:color="auto" w:fill="FFFFFF"/>
        <w:snapToGrid w:val="0"/>
        <w:spacing w:line="560" w:lineRule="exact"/>
        <w:ind w:firstLine="641"/>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目标</w:t>
      </w:r>
      <w:r>
        <w:rPr>
          <w:rFonts w:ascii="仿宋" w:eastAsia="仿宋" w:hAnsi="仿宋" w:cs="宋体" w:hint="eastAsia"/>
          <w:color w:val="000000" w:themeColor="text1"/>
          <w:kern w:val="0"/>
          <w:sz w:val="32"/>
          <w:szCs w:val="32"/>
        </w:rPr>
        <w:t>1</w:t>
      </w:r>
      <w:r>
        <w:rPr>
          <w:rFonts w:ascii="仿宋" w:eastAsia="仿宋" w:hAnsi="仿宋" w:cs="宋体" w:hint="eastAsia"/>
          <w:color w:val="000000" w:themeColor="text1"/>
          <w:kern w:val="0"/>
          <w:sz w:val="32"/>
          <w:szCs w:val="32"/>
        </w:rPr>
        <w:t>：按照教育部、财政部《关于“十二五”期间实施“高等学校本科教学质量与教学改革工程”的意见》</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加强学科专业建设，加大教师队伍建设力度，深化教育教学改革，优化学科专业结构，创新人才培养模式，强化教学质量管理，全面提升高等教育质量和办学水平。</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 xml:space="preserve">2: </w:t>
      </w:r>
      <w:r>
        <w:rPr>
          <w:rFonts w:ascii="仿宋" w:eastAsia="仿宋" w:hAnsi="仿宋" w:cs="宋体" w:hint="eastAsia"/>
          <w:color w:val="000000" w:themeColor="text1"/>
          <w:kern w:val="0"/>
          <w:sz w:val="32"/>
          <w:szCs w:val="32"/>
        </w:rPr>
        <w:t>按照国务院的决策部署，深入推进高等教育结构调整、加快应用技术人才培养、促进高校特色发展，引导自治区部分普通本科高校向应用型转变。</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3</w:t>
      </w:r>
      <w:r>
        <w:rPr>
          <w:rFonts w:ascii="仿宋" w:eastAsia="仿宋" w:hAnsi="仿宋" w:cs="宋体" w:hint="eastAsia"/>
          <w:color w:val="000000" w:themeColor="text1"/>
          <w:kern w:val="0"/>
          <w:sz w:val="32"/>
          <w:szCs w:val="32"/>
        </w:rPr>
        <w:t>：按照《自治区深化高等</w:t>
      </w:r>
      <w:r>
        <w:rPr>
          <w:rFonts w:ascii="仿宋" w:eastAsia="仿宋" w:hAnsi="仿宋" w:cs="宋体" w:hint="eastAsia"/>
          <w:color w:val="000000" w:themeColor="text1"/>
          <w:kern w:val="0"/>
          <w:sz w:val="32"/>
          <w:szCs w:val="32"/>
        </w:rPr>
        <w:t>学校创新创业教育改革实施方案》的要求，集中力量抓好修订人才培养方案等</w:t>
      </w:r>
      <w:r>
        <w:rPr>
          <w:rFonts w:ascii="仿宋" w:eastAsia="仿宋" w:hAnsi="仿宋" w:cs="宋体" w:hint="eastAsia"/>
          <w:color w:val="000000" w:themeColor="text1"/>
          <w:kern w:val="0"/>
          <w:sz w:val="32"/>
          <w:szCs w:val="32"/>
        </w:rPr>
        <w:t>7</w:t>
      </w:r>
      <w:r>
        <w:rPr>
          <w:rFonts w:ascii="仿宋" w:eastAsia="仿宋" w:hAnsi="仿宋" w:cs="宋体" w:hint="eastAsia"/>
          <w:color w:val="000000" w:themeColor="text1"/>
          <w:kern w:val="0"/>
          <w:sz w:val="32"/>
          <w:szCs w:val="32"/>
        </w:rPr>
        <w:t>个方面的工作。</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（二）</w:t>
      </w:r>
      <w:proofErr w:type="gramStart"/>
      <w:r>
        <w:rPr>
          <w:rFonts w:ascii="仿宋" w:eastAsia="仿宋" w:hAnsi="仿宋" w:cs="宋体" w:hint="eastAsia"/>
          <w:color w:val="000000" w:themeColor="text1"/>
          <w:kern w:val="0"/>
          <w:sz w:val="32"/>
          <w:szCs w:val="32"/>
        </w:rPr>
        <w:t>高校奖</w:t>
      </w:r>
      <w:proofErr w:type="gramEnd"/>
      <w:r>
        <w:rPr>
          <w:rFonts w:ascii="仿宋" w:eastAsia="仿宋" w:hAnsi="仿宋" w:cs="宋体" w:hint="eastAsia"/>
          <w:color w:val="000000" w:themeColor="text1"/>
          <w:kern w:val="0"/>
          <w:sz w:val="32"/>
          <w:szCs w:val="32"/>
        </w:rPr>
        <w:t>助学金绩效目标</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1</w:t>
      </w:r>
      <w:r>
        <w:rPr>
          <w:rFonts w:ascii="仿宋" w:eastAsia="仿宋" w:hAnsi="仿宋" w:cs="宋体" w:hint="eastAsia"/>
          <w:color w:val="000000" w:themeColor="text1"/>
          <w:kern w:val="0"/>
          <w:sz w:val="32"/>
          <w:szCs w:val="32"/>
        </w:rPr>
        <w:t>：高等教育阶段教育各项国家资助按规定得到落实；</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：教育公平显著提升，满足家庭经济困难学生基本学习生活需要。</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（三）教师培训专项资金绩效目标</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主要围绕各级各类教师、校长及管理干部开展分层次、分学段的</w:t>
      </w:r>
      <w:proofErr w:type="gramStart"/>
      <w:r>
        <w:rPr>
          <w:rFonts w:ascii="仿宋" w:eastAsia="仿宋" w:hAnsi="仿宋" w:cs="宋体" w:hint="eastAsia"/>
          <w:color w:val="000000" w:themeColor="text1"/>
          <w:kern w:val="0"/>
          <w:sz w:val="32"/>
          <w:szCs w:val="32"/>
        </w:rPr>
        <w:t>的</w:t>
      </w:r>
      <w:proofErr w:type="gramEnd"/>
      <w:r>
        <w:rPr>
          <w:rFonts w:ascii="仿宋" w:eastAsia="仿宋" w:hAnsi="仿宋" w:cs="宋体" w:hint="eastAsia"/>
          <w:color w:val="000000" w:themeColor="text1"/>
          <w:kern w:val="0"/>
          <w:sz w:val="32"/>
          <w:szCs w:val="32"/>
        </w:rPr>
        <w:t>培训，着力加强教师、校长政治理想信念，提升中小学特别是乡村学校教师队伍教育教学能力和水平及校长办学治校的能力和水平。</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（四）校园足球试点支持专项资金绩效目标</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1</w:t>
      </w:r>
      <w:r>
        <w:rPr>
          <w:rFonts w:ascii="仿宋" w:eastAsia="仿宋" w:hAnsi="仿宋" w:cs="宋体" w:hint="eastAsia"/>
          <w:color w:val="000000" w:themeColor="text1"/>
          <w:kern w:val="0"/>
          <w:sz w:val="32"/>
          <w:szCs w:val="32"/>
        </w:rPr>
        <w:t>：评创校园足球两</w:t>
      </w:r>
      <w:r>
        <w:rPr>
          <w:rFonts w:ascii="仿宋" w:eastAsia="仿宋" w:hAnsi="仿宋" w:cs="宋体" w:hint="eastAsia"/>
          <w:color w:val="000000" w:themeColor="text1"/>
          <w:kern w:val="0"/>
          <w:sz w:val="32"/>
          <w:szCs w:val="32"/>
        </w:rPr>
        <w:t>级特色学校，加大校园足球特色学校建设力度，充分调动特色学校积极性，建立特色学校</w:t>
      </w:r>
      <w:r>
        <w:rPr>
          <w:rFonts w:ascii="仿宋" w:eastAsia="仿宋" w:hAnsi="仿宋" w:cs="宋体" w:hint="eastAsia"/>
          <w:color w:val="000000" w:themeColor="text1"/>
          <w:kern w:val="0"/>
          <w:sz w:val="32"/>
          <w:szCs w:val="32"/>
        </w:rPr>
        <w:lastRenderedPageBreak/>
        <w:t>升降级机制，丰富校园足球文化活动，增加足球人口，带动校园足球全面发展。</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：加大培训力度，尽快提高相关人员业务水平，尽快补充师资等从业人员，解决我区校园足球师资严重不足的现象。</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3</w:t>
      </w:r>
      <w:r>
        <w:rPr>
          <w:rFonts w:ascii="仿宋" w:eastAsia="仿宋" w:hAnsi="仿宋" w:cs="宋体" w:hint="eastAsia"/>
          <w:color w:val="000000" w:themeColor="text1"/>
          <w:kern w:val="0"/>
          <w:sz w:val="32"/>
          <w:szCs w:val="32"/>
        </w:rPr>
        <w:t>：建立完善的赛事体系，打造品牌赛事，充分发挥赛事杠杆作用，为优秀运动员提供优质的展现平台。</w:t>
      </w:r>
    </w:p>
    <w:p w:rsidR="005450DF" w:rsidRDefault="00660093">
      <w:pPr>
        <w:widowControl/>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4</w:t>
      </w:r>
      <w:r>
        <w:rPr>
          <w:rFonts w:ascii="仿宋" w:eastAsia="仿宋" w:hAnsi="仿宋" w:cs="宋体" w:hint="eastAsia"/>
          <w:color w:val="000000" w:themeColor="text1"/>
          <w:kern w:val="0"/>
          <w:sz w:val="32"/>
          <w:szCs w:val="32"/>
        </w:rPr>
        <w:t>：引进国外先进的足球理念和青少年训练体系，创造交流平台，提高我区校园足球整体水平</w:t>
      </w:r>
      <w:r>
        <w:rPr>
          <w:rFonts w:ascii="仿宋" w:eastAsia="仿宋" w:hAnsi="仿宋" w:cs="宋体" w:hint="eastAsia"/>
          <w:color w:val="000000" w:themeColor="text1"/>
          <w:kern w:val="0"/>
          <w:sz w:val="32"/>
          <w:szCs w:val="32"/>
        </w:rPr>
        <w:t>。</w:t>
      </w:r>
    </w:p>
    <w:p w:rsidR="005450DF" w:rsidRDefault="00660093">
      <w:pPr>
        <w:widowControl/>
        <w:numPr>
          <w:ilvl w:val="0"/>
          <w:numId w:val="3"/>
        </w:numPr>
        <w:shd w:val="clear" w:color="auto" w:fill="FFFFFF"/>
        <w:snapToGrid w:val="0"/>
        <w:spacing w:line="56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支持地方高校改革发展资金绩效目标</w:t>
      </w:r>
    </w:p>
    <w:p w:rsidR="005450DF" w:rsidRDefault="00660093">
      <w:pPr>
        <w:widowControl/>
        <w:shd w:val="clear" w:color="auto" w:fill="FFFFFF"/>
        <w:snapToGrid w:val="0"/>
        <w:spacing w:line="560" w:lineRule="exact"/>
        <w:ind w:firstLine="640"/>
        <w:jc w:val="left"/>
        <w:rPr>
          <w:rFonts w:ascii="仿宋" w:eastAsia="仿宋" w:hAnsi="仿宋" w:cs="仿宋"/>
          <w:kern w:val="0"/>
          <w:sz w:val="32"/>
          <w:szCs w:val="32"/>
        </w:rPr>
      </w:pPr>
      <w:r>
        <w:rPr>
          <w:rFonts w:ascii="仿宋" w:eastAsia="仿宋" w:hAnsi="仿宋" w:cs="宋体" w:hint="eastAsia"/>
          <w:color w:val="000000" w:themeColor="text1"/>
          <w:kern w:val="0"/>
          <w:sz w:val="32"/>
          <w:szCs w:val="32"/>
        </w:rPr>
        <w:t>目标</w:t>
      </w:r>
      <w:r>
        <w:rPr>
          <w:rFonts w:ascii="仿宋" w:eastAsia="仿宋" w:hAnsi="仿宋" w:cs="宋体" w:hint="eastAsia"/>
          <w:color w:val="000000" w:themeColor="text1"/>
          <w:kern w:val="0"/>
          <w:sz w:val="32"/>
          <w:szCs w:val="32"/>
        </w:rPr>
        <w:t>1</w:t>
      </w:r>
      <w:r>
        <w:rPr>
          <w:rFonts w:ascii="仿宋" w:eastAsia="仿宋" w:hAnsi="仿宋" w:cs="宋体" w:hint="eastAsia"/>
          <w:color w:val="000000" w:themeColor="text1"/>
          <w:kern w:val="0"/>
          <w:sz w:val="32"/>
          <w:szCs w:val="32"/>
        </w:rPr>
        <w:t>：</w:t>
      </w:r>
      <w:r>
        <w:rPr>
          <w:rFonts w:ascii="仿宋" w:eastAsia="仿宋" w:hAnsi="仿宋" w:cs="宋体" w:hint="eastAsia"/>
          <w:kern w:val="0"/>
          <w:sz w:val="32"/>
          <w:szCs w:val="32"/>
        </w:rPr>
        <w:t>主要</w:t>
      </w:r>
      <w:r>
        <w:rPr>
          <w:rFonts w:ascii="仿宋" w:eastAsia="仿宋" w:hAnsi="仿宋" w:cs="仿宋" w:hint="eastAsia"/>
          <w:kern w:val="0"/>
          <w:sz w:val="32"/>
          <w:szCs w:val="32"/>
        </w:rPr>
        <w:t>用于学校开展教学、科研、公共服务体系</w:t>
      </w:r>
      <w:r>
        <w:rPr>
          <w:rFonts w:ascii="仿宋" w:eastAsia="仿宋" w:hAnsi="仿宋" w:cs="仿宋" w:hint="eastAsia"/>
          <w:kern w:val="0"/>
          <w:sz w:val="32"/>
          <w:szCs w:val="32"/>
        </w:rPr>
        <w:t>所需的基础设施建设、维修及改造，此外，涉及设备、网络信息软件购置等，一方面保证师生安全与校园优美环境，另一方面尽可能满足师生的各项需求。</w:t>
      </w:r>
    </w:p>
    <w:p w:rsidR="005450DF" w:rsidRDefault="00660093">
      <w:pPr>
        <w:widowControl/>
        <w:shd w:val="clear" w:color="auto" w:fill="FFFFFF"/>
        <w:snapToGrid w:val="0"/>
        <w:spacing w:line="56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目标</w:t>
      </w: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主动发挥学校国际交流职能，继续推进和扩大</w:t>
      </w:r>
      <w:r>
        <w:rPr>
          <w:rFonts w:ascii="仿宋" w:eastAsia="仿宋" w:hAnsi="仿宋" w:cs="仿宋" w:hint="eastAsia"/>
          <w:kern w:val="0"/>
          <w:sz w:val="32"/>
          <w:szCs w:val="32"/>
        </w:rPr>
        <w:t>学校国际学术交往，支持学校发展建设</w:t>
      </w:r>
      <w:r>
        <w:rPr>
          <w:rFonts w:ascii="仿宋" w:eastAsia="仿宋" w:hAnsi="仿宋" w:cs="仿宋" w:hint="eastAsia"/>
          <w:kern w:val="0"/>
          <w:sz w:val="32"/>
          <w:szCs w:val="32"/>
        </w:rPr>
        <w:t>，</w:t>
      </w:r>
      <w:r>
        <w:rPr>
          <w:rFonts w:ascii="仿宋" w:eastAsia="仿宋" w:hAnsi="仿宋" w:cs="仿宋" w:hint="eastAsia"/>
          <w:kern w:val="0"/>
          <w:sz w:val="32"/>
          <w:szCs w:val="32"/>
        </w:rPr>
        <w:t>学校国际交流工作得到加强</w:t>
      </w:r>
      <w:r>
        <w:rPr>
          <w:rFonts w:ascii="仿宋" w:eastAsia="仿宋" w:hAnsi="仿宋" w:cs="仿宋" w:hint="eastAsia"/>
          <w:kern w:val="0"/>
          <w:sz w:val="32"/>
          <w:szCs w:val="32"/>
        </w:rPr>
        <w:t>。</w:t>
      </w:r>
    </w:p>
    <w:p w:rsidR="005450DF" w:rsidRDefault="00660093">
      <w:pPr>
        <w:widowControl/>
        <w:numPr>
          <w:ilvl w:val="0"/>
          <w:numId w:val="3"/>
        </w:numPr>
        <w:shd w:val="clear" w:color="auto" w:fill="FFFFFF"/>
        <w:snapToGrid w:val="0"/>
        <w:spacing w:line="56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重点学科重点实验室建设资金绩效目标</w:t>
      </w:r>
    </w:p>
    <w:p w:rsidR="005450DF" w:rsidRDefault="00660093">
      <w:pPr>
        <w:widowControl/>
        <w:shd w:val="clear" w:color="auto" w:fill="FFFFFF"/>
        <w:snapToGrid w:val="0"/>
        <w:spacing w:line="56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目标</w:t>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将内蒙古</w:t>
      </w:r>
      <w:r>
        <w:rPr>
          <w:rFonts w:ascii="仿宋" w:eastAsia="仿宋" w:hAnsi="仿宋" w:cs="仿宋" w:hint="eastAsia"/>
          <w:kern w:val="0"/>
          <w:sz w:val="32"/>
          <w:szCs w:val="32"/>
        </w:rPr>
        <w:t>师范大学</w:t>
      </w:r>
      <w:r>
        <w:rPr>
          <w:rFonts w:ascii="仿宋" w:eastAsia="仿宋" w:hAnsi="仿宋" w:cs="仿宋" w:hint="eastAsia"/>
          <w:kern w:val="0"/>
          <w:sz w:val="32"/>
          <w:szCs w:val="32"/>
        </w:rPr>
        <w:t>重点实验室建设成自治区一流的实验室，提升国内的研究实力和影响力。培养高质量专业人才，加强国际学术交流及基础应用型人才培养，产出一批有学术影响力、有科学价值的研究成果，有效提高学院教学能力和科研水平。在现有研究水准的前提下，提升本专业在国内、国际研究领域的竞争力，为自治区科技和经济发展、社会服务做出更大贡献。</w:t>
      </w:r>
    </w:p>
    <w:p w:rsidR="005450DF" w:rsidRDefault="005450DF">
      <w:pPr>
        <w:widowControl/>
        <w:shd w:val="clear" w:color="auto" w:fill="FFFFFF"/>
        <w:snapToGrid w:val="0"/>
        <w:spacing w:line="560" w:lineRule="exact"/>
        <w:ind w:firstLine="640"/>
        <w:jc w:val="left"/>
        <w:rPr>
          <w:rFonts w:ascii="仿宋" w:eastAsia="仿宋" w:hAnsi="仿宋" w:cs="仿宋"/>
          <w:kern w:val="0"/>
          <w:sz w:val="32"/>
          <w:szCs w:val="32"/>
        </w:rPr>
      </w:pPr>
    </w:p>
    <w:p w:rsidR="005450DF" w:rsidRDefault="00660093">
      <w:pPr>
        <w:widowControl/>
        <w:shd w:val="clear" w:color="auto" w:fill="FFFFFF"/>
        <w:snapToGrid w:val="0"/>
        <w:spacing w:line="560" w:lineRule="exact"/>
        <w:ind w:firstLine="640"/>
        <w:jc w:val="left"/>
        <w:rPr>
          <w:rFonts w:ascii="仿宋" w:eastAsia="仿宋" w:hAnsi="仿宋" w:cs="仿宋"/>
          <w:kern w:val="0"/>
          <w:sz w:val="32"/>
          <w:szCs w:val="32"/>
        </w:rPr>
      </w:pPr>
      <w:r>
        <w:rPr>
          <w:rFonts w:ascii="仿宋" w:eastAsia="仿宋" w:hAnsi="仿宋" w:cs="仿宋" w:hint="eastAsia"/>
          <w:kern w:val="0"/>
          <w:sz w:val="32"/>
          <w:szCs w:val="32"/>
        </w:rPr>
        <w:t>目标</w:t>
      </w:r>
      <w:r>
        <w:rPr>
          <w:rFonts w:ascii="仿宋" w:eastAsia="仿宋" w:hAnsi="仿宋" w:cs="仿宋" w:hint="eastAsia"/>
          <w:kern w:val="0"/>
          <w:sz w:val="32"/>
          <w:szCs w:val="32"/>
        </w:rPr>
        <w:t>2</w:t>
      </w:r>
      <w:r>
        <w:rPr>
          <w:rFonts w:ascii="仿宋" w:eastAsia="仿宋" w:hAnsi="仿宋" w:cs="仿宋" w:hint="eastAsia"/>
          <w:kern w:val="0"/>
          <w:sz w:val="32"/>
          <w:szCs w:val="32"/>
        </w:rPr>
        <w:t>：提升培养我区重点学科骨干团队力量，将内蒙古师范大学重点学科建设成为全国高校一流的、特色鲜明的学科。</w:t>
      </w:r>
    </w:p>
    <w:p w:rsidR="005450DF" w:rsidRDefault="005450DF">
      <w:pPr>
        <w:widowControl/>
        <w:shd w:val="clear" w:color="auto" w:fill="FFFFFF"/>
        <w:snapToGrid w:val="0"/>
        <w:spacing w:line="560" w:lineRule="exact"/>
        <w:ind w:firstLine="640"/>
        <w:jc w:val="left"/>
        <w:rPr>
          <w:rFonts w:ascii="仿宋" w:eastAsia="仿宋" w:hAnsi="仿宋" w:cs="仿宋"/>
          <w:kern w:val="0"/>
          <w:sz w:val="32"/>
          <w:szCs w:val="32"/>
        </w:rPr>
      </w:pPr>
    </w:p>
    <w:p w:rsidR="005450DF" w:rsidRDefault="00660093">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第四部分</w:t>
      </w:r>
      <w:r>
        <w:rPr>
          <w:rFonts w:ascii="楷体_GB2312" w:eastAsia="楷体_GB2312" w:hAnsi="黑体" w:hint="eastAsia"/>
          <w:b/>
          <w:color w:val="000000"/>
          <w:sz w:val="36"/>
          <w:szCs w:val="36"/>
        </w:rPr>
        <w:t xml:space="preserve">  </w:t>
      </w:r>
      <w:r>
        <w:rPr>
          <w:rFonts w:ascii="楷体_GB2312" w:eastAsia="楷体_GB2312" w:hAnsi="黑体" w:hint="eastAsia"/>
          <w:b/>
          <w:color w:val="000000"/>
          <w:sz w:val="36"/>
          <w:szCs w:val="36"/>
        </w:rPr>
        <w:t>名词解释</w:t>
      </w:r>
    </w:p>
    <w:p w:rsidR="005450DF" w:rsidRDefault="005450DF">
      <w:pPr>
        <w:snapToGrid w:val="0"/>
        <w:spacing w:line="560" w:lineRule="exact"/>
        <w:jc w:val="center"/>
        <w:rPr>
          <w:rFonts w:eastAsia="仿宋_GB2312"/>
          <w:color w:val="000000"/>
          <w:sz w:val="32"/>
          <w:szCs w:val="32"/>
        </w:rPr>
      </w:pPr>
    </w:p>
    <w:p w:rsidR="005450DF" w:rsidRDefault="00660093">
      <w:pPr>
        <w:widowControl/>
        <w:shd w:val="clear" w:color="auto" w:fill="FFFFFF"/>
        <w:snapToGrid w:val="0"/>
        <w:spacing w:line="560" w:lineRule="exact"/>
        <w:ind w:firstLine="640"/>
        <w:jc w:val="left"/>
        <w:rPr>
          <w:rFonts w:ascii="仿宋" w:eastAsia="仿宋" w:hAnsi="仿宋" w:cs="宋体"/>
          <w:color w:val="000000"/>
          <w:kern w:val="0"/>
          <w:sz w:val="32"/>
          <w:szCs w:val="32"/>
        </w:rPr>
      </w:pPr>
      <w:r>
        <w:rPr>
          <w:rFonts w:ascii="黑体" w:eastAsia="黑体" w:hAnsi="黑体" w:cs="宋体" w:hint="eastAsia"/>
          <w:color w:val="000000"/>
          <w:kern w:val="0"/>
          <w:sz w:val="32"/>
          <w:szCs w:val="32"/>
        </w:rPr>
        <w:t>一、一般公共预算财政拨款收入：</w:t>
      </w:r>
      <w:r>
        <w:rPr>
          <w:rFonts w:ascii="仿宋" w:eastAsia="仿宋" w:hAnsi="仿宋" w:cs="宋体" w:hint="eastAsia"/>
          <w:color w:val="000000"/>
          <w:kern w:val="0"/>
          <w:sz w:val="32"/>
          <w:szCs w:val="32"/>
        </w:rPr>
        <w:t>是指自治区财政当年拨付的资金。</w:t>
      </w:r>
    </w:p>
    <w:p w:rsidR="005450DF" w:rsidRDefault="00660093">
      <w:pPr>
        <w:widowControl/>
        <w:shd w:val="clear" w:color="auto" w:fill="FFFFFF"/>
        <w:snapToGrid w:val="0"/>
        <w:spacing w:line="560" w:lineRule="exact"/>
        <w:ind w:firstLine="640"/>
        <w:jc w:val="left"/>
        <w:rPr>
          <w:rFonts w:ascii="仿宋" w:eastAsia="仿宋" w:hAnsi="仿宋" w:cs="宋体"/>
          <w:color w:val="000000"/>
          <w:kern w:val="0"/>
          <w:sz w:val="32"/>
          <w:szCs w:val="32"/>
        </w:rPr>
      </w:pPr>
      <w:r>
        <w:rPr>
          <w:rFonts w:ascii="黑体" w:eastAsia="黑体" w:hAnsi="黑体" w:cs="宋体" w:hint="eastAsia"/>
          <w:color w:val="000000"/>
          <w:kern w:val="0"/>
          <w:sz w:val="32"/>
          <w:szCs w:val="32"/>
        </w:rPr>
        <w:t>二、事业收入：</w:t>
      </w:r>
      <w:r>
        <w:rPr>
          <w:rFonts w:ascii="仿宋" w:eastAsia="仿宋" w:hAnsi="仿宋" w:cs="宋体" w:hint="eastAsia"/>
          <w:color w:val="000000"/>
          <w:kern w:val="0"/>
          <w:sz w:val="32"/>
          <w:szCs w:val="32"/>
        </w:rPr>
        <w:t>是指事业单位开展专业业务活动及辅助活动所取得的收入。</w:t>
      </w:r>
    </w:p>
    <w:p w:rsidR="005450DF" w:rsidRDefault="00660093">
      <w:pPr>
        <w:widowControl/>
        <w:shd w:val="clear" w:color="auto" w:fill="FFFFFF"/>
        <w:snapToGrid w:val="0"/>
        <w:spacing w:line="560" w:lineRule="exact"/>
        <w:ind w:firstLine="645"/>
        <w:jc w:val="left"/>
        <w:rPr>
          <w:rFonts w:ascii="宋体" w:eastAsia="宋体" w:hAnsi="宋体" w:cs="宋体"/>
          <w:color w:val="000000"/>
          <w:kern w:val="0"/>
          <w:sz w:val="32"/>
          <w:szCs w:val="32"/>
        </w:rPr>
      </w:pPr>
      <w:r>
        <w:rPr>
          <w:rFonts w:ascii="黑体" w:eastAsia="黑体" w:hAnsi="黑体" w:cs="宋体" w:hint="eastAsia"/>
          <w:color w:val="000000"/>
          <w:kern w:val="0"/>
          <w:sz w:val="32"/>
          <w:szCs w:val="32"/>
        </w:rPr>
        <w:t>三、事业单位经营收入</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是指事业单位在专业业务活动及其辅助活动之外开展非独立核算经营活动取得的收入。</w:t>
      </w:r>
    </w:p>
    <w:p w:rsidR="005450DF" w:rsidRDefault="00660093">
      <w:pPr>
        <w:widowControl/>
        <w:shd w:val="clear" w:color="auto" w:fill="FFFFFF"/>
        <w:snapToGrid w:val="0"/>
        <w:spacing w:line="560" w:lineRule="exact"/>
        <w:ind w:firstLine="645"/>
        <w:jc w:val="left"/>
        <w:rPr>
          <w:rFonts w:ascii="仿宋" w:eastAsia="仿宋" w:hAnsi="仿宋" w:cs="宋体"/>
          <w:color w:val="000000"/>
          <w:kern w:val="0"/>
          <w:sz w:val="32"/>
          <w:szCs w:val="32"/>
        </w:rPr>
      </w:pPr>
      <w:r>
        <w:rPr>
          <w:rFonts w:ascii="黑体" w:eastAsia="黑体" w:hAnsi="黑体" w:cs="宋体" w:hint="eastAsia"/>
          <w:color w:val="000000"/>
          <w:kern w:val="0"/>
          <w:sz w:val="32"/>
          <w:szCs w:val="32"/>
        </w:rPr>
        <w:t>四、其他收入</w:t>
      </w:r>
      <w:r>
        <w:rPr>
          <w:rFonts w:ascii="仿宋_GB2312" w:eastAsia="仿宋_GB2312" w:hAnsi="宋体" w:cs="宋体" w:hint="eastAsia"/>
          <w:color w:val="000000"/>
          <w:kern w:val="0"/>
          <w:sz w:val="32"/>
          <w:szCs w:val="32"/>
        </w:rPr>
        <w:t xml:space="preserve"> </w:t>
      </w:r>
      <w:r>
        <w:rPr>
          <w:rFonts w:ascii="仿宋" w:eastAsia="仿宋" w:hAnsi="仿宋" w:cs="宋体" w:hint="eastAsia"/>
          <w:color w:val="000000"/>
          <w:kern w:val="0"/>
          <w:sz w:val="32"/>
          <w:szCs w:val="32"/>
        </w:rPr>
        <w:t>：是指除上述“一般公共预算财政拨款收入”、“事业收入”、“事业单位经营收入”等以外的收入。</w:t>
      </w:r>
    </w:p>
    <w:p w:rsidR="005450DF" w:rsidRDefault="00660093">
      <w:pPr>
        <w:widowControl/>
        <w:shd w:val="clear" w:color="auto" w:fill="FFFFFF"/>
        <w:wordWrap w:val="0"/>
        <w:snapToGrid w:val="0"/>
        <w:spacing w:line="560" w:lineRule="atLeast"/>
        <w:ind w:firstLine="645"/>
        <w:jc w:val="left"/>
        <w:rPr>
          <w:rFonts w:ascii="宋体" w:hAnsi="宋体" w:cs="宋体"/>
          <w:color w:val="000000"/>
          <w:kern w:val="0"/>
          <w:sz w:val="32"/>
          <w:szCs w:val="32"/>
        </w:rPr>
      </w:pPr>
      <w:r>
        <w:rPr>
          <w:rFonts w:ascii="黑体" w:eastAsia="黑体" w:hAnsi="黑体" w:cs="宋体" w:hint="eastAsia"/>
          <w:color w:val="000000"/>
          <w:kern w:val="0"/>
          <w:sz w:val="32"/>
          <w:szCs w:val="32"/>
        </w:rPr>
        <w:t>五、用事业基金弥补收支差额</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是指事业单位在预计用当年的“一般公共预算财政拨款收入”、“财政拨款结转和结余资金”、“事业收入”</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、“事业单位经营收入”、“其他收入”不足以安排当年支出的情况下，使用以前年度积累的事业基金（事业单位当年收支相抵后按国家规定提取、用于弥补以后年度收支差额的基金）弥补本年收支缺口的资金。</w:t>
      </w:r>
    </w:p>
    <w:p w:rsidR="005450DF" w:rsidRDefault="00660093">
      <w:pPr>
        <w:widowControl/>
        <w:shd w:val="clear" w:color="auto" w:fill="FFFFFF"/>
        <w:snapToGrid w:val="0"/>
        <w:spacing w:line="560" w:lineRule="exact"/>
        <w:ind w:firstLine="645"/>
        <w:jc w:val="left"/>
        <w:rPr>
          <w:rFonts w:ascii="宋体" w:eastAsia="宋体" w:hAnsi="宋体" w:cs="宋体"/>
          <w:color w:val="000000"/>
          <w:kern w:val="0"/>
          <w:sz w:val="32"/>
          <w:szCs w:val="32"/>
        </w:rPr>
      </w:pPr>
      <w:r>
        <w:rPr>
          <w:rFonts w:ascii="黑体" w:eastAsia="黑体" w:hAnsi="黑体" w:cs="宋体" w:hint="eastAsia"/>
          <w:color w:val="000000"/>
          <w:kern w:val="0"/>
          <w:sz w:val="32"/>
          <w:szCs w:val="32"/>
        </w:rPr>
        <w:t>六、上年结转</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是指以前年度尚未完成、结转到本年仍按原规定用途继续使用的资金。</w:t>
      </w:r>
    </w:p>
    <w:p w:rsidR="005450DF" w:rsidRDefault="00660093">
      <w:pPr>
        <w:widowControl/>
        <w:shd w:val="clear" w:color="auto" w:fill="FFFFFF"/>
        <w:snapToGrid w:val="0"/>
        <w:spacing w:line="560" w:lineRule="exact"/>
        <w:ind w:firstLine="645"/>
        <w:jc w:val="left"/>
        <w:rPr>
          <w:rFonts w:ascii="宋体" w:eastAsia="宋体" w:hAnsi="宋体" w:cs="宋体"/>
          <w:color w:val="000000"/>
          <w:kern w:val="0"/>
          <w:sz w:val="32"/>
          <w:szCs w:val="32"/>
        </w:rPr>
      </w:pPr>
      <w:r>
        <w:rPr>
          <w:rFonts w:ascii="黑体" w:eastAsia="黑体" w:hAnsi="黑体" w:cs="宋体" w:hint="eastAsia"/>
          <w:color w:val="000000"/>
          <w:kern w:val="0"/>
          <w:sz w:val="32"/>
          <w:szCs w:val="32"/>
        </w:rPr>
        <w:lastRenderedPageBreak/>
        <w:t>七、基本支出</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是指为保障机构正常运转，完成日常工作任务而发生的人员支出和公用支出。</w:t>
      </w:r>
    </w:p>
    <w:p w:rsidR="005450DF" w:rsidRDefault="00660093">
      <w:pPr>
        <w:widowControl/>
        <w:shd w:val="clear" w:color="auto" w:fill="FFFFFF"/>
        <w:snapToGrid w:val="0"/>
        <w:spacing w:line="560" w:lineRule="exact"/>
        <w:ind w:firstLine="645"/>
        <w:jc w:val="left"/>
        <w:rPr>
          <w:rFonts w:ascii="宋体" w:eastAsia="宋体" w:hAnsi="宋体" w:cs="宋体"/>
          <w:color w:val="000000"/>
          <w:kern w:val="0"/>
          <w:sz w:val="32"/>
          <w:szCs w:val="32"/>
        </w:rPr>
      </w:pPr>
      <w:r>
        <w:rPr>
          <w:rFonts w:ascii="黑体" w:eastAsia="黑体" w:hAnsi="黑体" w:cs="宋体" w:hint="eastAsia"/>
          <w:color w:val="000000"/>
          <w:kern w:val="0"/>
          <w:sz w:val="32"/>
          <w:szCs w:val="32"/>
        </w:rPr>
        <w:t>八、项目支出</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是指基本支出之外，为完成特定事业发展目标所发生的支出。</w:t>
      </w:r>
    </w:p>
    <w:p w:rsidR="005450DF" w:rsidRDefault="00660093">
      <w:pPr>
        <w:widowControl/>
        <w:shd w:val="clear" w:color="auto" w:fill="FFFFFF"/>
        <w:snapToGrid w:val="0"/>
        <w:spacing w:line="560" w:lineRule="exact"/>
        <w:ind w:firstLine="645"/>
        <w:jc w:val="left"/>
        <w:rPr>
          <w:rFonts w:ascii="仿宋" w:eastAsia="仿宋" w:hAnsi="仿宋" w:cs="宋体"/>
          <w:color w:val="000000"/>
          <w:kern w:val="0"/>
          <w:sz w:val="32"/>
          <w:szCs w:val="32"/>
        </w:rPr>
      </w:pPr>
      <w:r>
        <w:rPr>
          <w:rFonts w:ascii="黑体" w:eastAsia="黑体" w:hAnsi="黑体" w:cs="宋体" w:hint="eastAsia"/>
          <w:color w:val="000000"/>
          <w:kern w:val="0"/>
          <w:sz w:val="32"/>
          <w:szCs w:val="32"/>
        </w:rPr>
        <w:t>九、“三公”经费</w:t>
      </w:r>
      <w:r>
        <w:rPr>
          <w:rFonts w:ascii="仿宋_GB2312" w:eastAsia="仿宋_GB2312" w:hAnsi="宋体" w:cs="宋体" w:hint="eastAsia"/>
          <w:color w:val="000000"/>
          <w:kern w:val="0"/>
          <w:sz w:val="32"/>
          <w:szCs w:val="32"/>
        </w:rPr>
        <w:t>：</w:t>
      </w:r>
      <w:r>
        <w:rPr>
          <w:rFonts w:ascii="仿宋" w:eastAsia="仿宋" w:hAnsi="仿宋" w:cs="宋体" w:hint="eastAsia"/>
          <w:color w:val="000000"/>
          <w:kern w:val="0"/>
          <w:sz w:val="32"/>
          <w:szCs w:val="32"/>
        </w:rPr>
        <w:t>纳入财政预决算管理的“三公”经费，是指部门用财政拨款安排的因公出国（境）费</w:t>
      </w:r>
      <w:r>
        <w:rPr>
          <w:rFonts w:ascii="仿宋" w:eastAsia="仿宋" w:hAnsi="仿宋" w:cs="宋体" w:hint="eastAsia"/>
          <w:color w:val="000000"/>
          <w:kern w:val="0"/>
          <w:sz w:val="32"/>
          <w:szCs w:val="32"/>
        </w:rPr>
        <w:t>、公务用车购置及运行费和公务接待费。</w:t>
      </w:r>
    </w:p>
    <w:p w:rsidR="005450DF" w:rsidRDefault="005450DF">
      <w:pPr>
        <w:adjustRightInd w:val="0"/>
        <w:snapToGrid w:val="0"/>
        <w:spacing w:line="560" w:lineRule="exact"/>
        <w:jc w:val="center"/>
        <w:rPr>
          <w:rFonts w:ascii="楷体_GB2312" w:eastAsia="楷体_GB2312" w:hAnsi="黑体"/>
          <w:b/>
          <w:color w:val="000000"/>
          <w:sz w:val="32"/>
          <w:szCs w:val="32"/>
        </w:rPr>
      </w:pPr>
    </w:p>
    <w:p w:rsidR="005450DF" w:rsidRDefault="00660093">
      <w:pPr>
        <w:adjustRightInd w:val="0"/>
        <w:snapToGrid w:val="0"/>
        <w:spacing w:line="560" w:lineRule="exact"/>
        <w:jc w:val="center"/>
        <w:rPr>
          <w:rFonts w:ascii="楷体_GB2312" w:eastAsia="楷体_GB2312" w:hAnsi="黑体"/>
          <w:b/>
          <w:color w:val="000000"/>
          <w:sz w:val="32"/>
          <w:szCs w:val="32"/>
        </w:rPr>
      </w:pPr>
      <w:r>
        <w:rPr>
          <w:rFonts w:ascii="楷体_GB2312" w:eastAsia="楷体_GB2312" w:hAnsi="黑体" w:hint="eastAsia"/>
          <w:b/>
          <w:color w:val="000000"/>
          <w:sz w:val="32"/>
          <w:szCs w:val="32"/>
        </w:rPr>
        <w:t>第五部分</w:t>
      </w:r>
      <w:r>
        <w:rPr>
          <w:rFonts w:ascii="楷体_GB2312" w:eastAsia="楷体_GB2312" w:hAnsi="黑体" w:hint="eastAsia"/>
          <w:b/>
          <w:color w:val="000000"/>
          <w:sz w:val="32"/>
          <w:szCs w:val="32"/>
        </w:rPr>
        <w:t xml:space="preserve">  2018</w:t>
      </w:r>
      <w:r>
        <w:rPr>
          <w:rFonts w:ascii="楷体_GB2312" w:eastAsia="楷体_GB2312" w:hAnsi="黑体" w:hint="eastAsia"/>
          <w:b/>
          <w:color w:val="000000"/>
          <w:sz w:val="32"/>
          <w:szCs w:val="32"/>
        </w:rPr>
        <w:t>年部门预算公开表</w:t>
      </w:r>
    </w:p>
    <w:p w:rsidR="005450DF" w:rsidRDefault="00660093">
      <w:pPr>
        <w:widowControl/>
        <w:shd w:val="clear" w:color="auto" w:fill="FFFFFF"/>
        <w:snapToGrid w:val="0"/>
        <w:spacing w:line="56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详见附件：</w:t>
      </w:r>
      <w:r>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9</w:t>
      </w:r>
      <w:r>
        <w:rPr>
          <w:rFonts w:ascii="仿宋" w:eastAsia="仿宋" w:hAnsi="仿宋" w:cs="宋体" w:hint="eastAsia"/>
          <w:color w:val="000000"/>
          <w:kern w:val="0"/>
          <w:sz w:val="32"/>
          <w:szCs w:val="32"/>
        </w:rPr>
        <w:t>年内蒙古师范大学部门预算公开表</w:t>
      </w:r>
    </w:p>
    <w:p w:rsidR="005450DF" w:rsidRDefault="005450DF">
      <w:pPr>
        <w:widowControl/>
        <w:shd w:val="clear" w:color="auto" w:fill="FFFFFF"/>
        <w:wordWrap w:val="0"/>
        <w:snapToGrid w:val="0"/>
        <w:spacing w:line="560" w:lineRule="atLeast"/>
        <w:ind w:firstLine="640"/>
        <w:jc w:val="left"/>
        <w:rPr>
          <w:rFonts w:ascii="仿宋" w:eastAsia="仿宋" w:hAnsi="仿宋"/>
          <w:color w:val="000000" w:themeColor="text1"/>
          <w:sz w:val="32"/>
          <w:szCs w:val="32"/>
        </w:rPr>
      </w:pPr>
    </w:p>
    <w:p w:rsidR="005450DF" w:rsidRDefault="005450DF">
      <w:pPr>
        <w:widowControl/>
        <w:shd w:val="clear" w:color="auto" w:fill="FFFFFF"/>
        <w:wordWrap w:val="0"/>
        <w:snapToGrid w:val="0"/>
        <w:spacing w:line="560" w:lineRule="atLeast"/>
        <w:ind w:firstLine="640"/>
        <w:jc w:val="left"/>
        <w:rPr>
          <w:rFonts w:ascii="仿宋" w:eastAsia="仿宋" w:hAnsi="仿宋"/>
          <w:bCs/>
          <w:color w:val="000000" w:themeColor="text1"/>
          <w:sz w:val="32"/>
          <w:szCs w:val="32"/>
        </w:rPr>
      </w:pPr>
    </w:p>
    <w:p w:rsidR="005450DF" w:rsidRDefault="005450DF">
      <w:pPr>
        <w:tabs>
          <w:tab w:val="left" w:pos="5745"/>
        </w:tabs>
        <w:ind w:firstLineChars="1450" w:firstLine="4640"/>
        <w:rPr>
          <w:rFonts w:ascii="华文仿宋" w:eastAsia="华文仿宋" w:hAnsi="华文仿宋"/>
          <w:sz w:val="32"/>
          <w:szCs w:val="32"/>
        </w:rPr>
      </w:pPr>
    </w:p>
    <w:p w:rsidR="005450DF" w:rsidRDefault="005450DF">
      <w:pPr>
        <w:tabs>
          <w:tab w:val="left" w:pos="5745"/>
        </w:tabs>
        <w:ind w:firstLineChars="1450" w:firstLine="4640"/>
        <w:rPr>
          <w:rFonts w:ascii="华文仿宋" w:eastAsia="华文仿宋" w:hAnsi="华文仿宋"/>
          <w:sz w:val="32"/>
          <w:szCs w:val="32"/>
        </w:rPr>
      </w:pPr>
    </w:p>
    <w:p w:rsidR="005450DF" w:rsidRDefault="005450DF">
      <w:pPr>
        <w:tabs>
          <w:tab w:val="left" w:pos="5745"/>
        </w:tabs>
        <w:ind w:firstLineChars="1450" w:firstLine="4640"/>
        <w:rPr>
          <w:rFonts w:ascii="华文仿宋" w:eastAsia="华文仿宋" w:hAnsi="华文仿宋"/>
          <w:sz w:val="32"/>
          <w:szCs w:val="32"/>
        </w:rPr>
      </w:pPr>
    </w:p>
    <w:p w:rsidR="005450DF" w:rsidRDefault="005450DF">
      <w:pPr>
        <w:tabs>
          <w:tab w:val="left" w:pos="5745"/>
        </w:tabs>
        <w:ind w:firstLineChars="1450" w:firstLine="4640"/>
        <w:rPr>
          <w:rFonts w:ascii="华文仿宋" w:eastAsia="华文仿宋" w:hAnsi="华文仿宋"/>
          <w:sz w:val="32"/>
          <w:szCs w:val="32"/>
        </w:rPr>
      </w:pPr>
    </w:p>
    <w:p w:rsidR="005450DF" w:rsidRDefault="005450DF">
      <w:pPr>
        <w:tabs>
          <w:tab w:val="left" w:pos="5745"/>
        </w:tabs>
        <w:ind w:firstLineChars="1450" w:firstLine="4350"/>
        <w:rPr>
          <w:rFonts w:ascii="华文仿宋" w:eastAsia="华文仿宋" w:hAnsi="华文仿宋"/>
          <w:sz w:val="30"/>
          <w:szCs w:val="30"/>
        </w:rPr>
        <w:sectPr w:rsidR="005450DF">
          <w:footerReference w:type="default" r:id="rId8"/>
          <w:pgSz w:w="11906" w:h="16838"/>
          <w:pgMar w:top="1134" w:right="1797" w:bottom="851" w:left="1797" w:header="851" w:footer="992" w:gutter="0"/>
          <w:cols w:space="425"/>
          <w:docGrid w:type="lines" w:linePitch="312"/>
        </w:sect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2689"/>
        <w:gridCol w:w="2772"/>
        <w:gridCol w:w="2617"/>
        <w:gridCol w:w="1616"/>
        <w:gridCol w:w="1193"/>
        <w:gridCol w:w="1840"/>
        <w:gridCol w:w="1634"/>
        <w:gridCol w:w="1373"/>
      </w:tblGrid>
      <w:tr w:rsidR="005450DF">
        <w:trPr>
          <w:trHeight w:val="240"/>
        </w:trPr>
        <w:tc>
          <w:tcPr>
            <w:tcW w:w="2689" w:type="dxa"/>
            <w:shd w:val="clear" w:color="auto" w:fill="auto"/>
            <w:vAlign w:val="bottom"/>
          </w:tcPr>
          <w:p w:rsidR="005450DF" w:rsidRDefault="00660093">
            <w:pPr>
              <w:widowControl/>
              <w:jc w:val="left"/>
              <w:textAlignment w:val="bottom"/>
              <w:rPr>
                <w:rFonts w:ascii="Arial" w:hAnsi="Arial" w:cs="Arial"/>
                <w:color w:val="000000"/>
                <w:sz w:val="20"/>
                <w:szCs w:val="20"/>
              </w:rPr>
            </w:pPr>
            <w:bookmarkStart w:id="1" w:name="RANGE!A1:G44"/>
            <w:r>
              <w:rPr>
                <w:rFonts w:ascii="Arial" w:eastAsia="宋体" w:hAnsi="Arial" w:cs="Arial"/>
                <w:color w:val="000000"/>
                <w:kern w:val="0"/>
                <w:sz w:val="20"/>
                <w:szCs w:val="20"/>
                <w:lang w:bidi="ar"/>
              </w:rPr>
              <w:lastRenderedPageBreak/>
              <w:t>表</w:t>
            </w:r>
            <w:r>
              <w:rPr>
                <w:rFonts w:ascii="Arial" w:eastAsia="宋体" w:hAnsi="Arial" w:cs="Arial"/>
                <w:color w:val="000000"/>
                <w:kern w:val="0"/>
                <w:sz w:val="20"/>
                <w:szCs w:val="20"/>
                <w:lang w:bidi="ar"/>
              </w:rPr>
              <w:t>1</w:t>
            </w:r>
          </w:p>
        </w:tc>
        <w:tc>
          <w:tcPr>
            <w:tcW w:w="2772" w:type="dxa"/>
            <w:shd w:val="clear" w:color="auto" w:fill="auto"/>
            <w:vAlign w:val="bottom"/>
          </w:tcPr>
          <w:p w:rsidR="005450DF" w:rsidRDefault="005450DF">
            <w:pPr>
              <w:jc w:val="left"/>
              <w:rPr>
                <w:rFonts w:ascii="Arial" w:hAnsi="Arial" w:cs="Arial"/>
                <w:color w:val="000000"/>
                <w:sz w:val="20"/>
                <w:szCs w:val="20"/>
              </w:rPr>
            </w:pPr>
          </w:p>
        </w:tc>
        <w:tc>
          <w:tcPr>
            <w:tcW w:w="2617" w:type="dxa"/>
            <w:shd w:val="clear" w:color="auto" w:fill="auto"/>
            <w:vAlign w:val="bottom"/>
          </w:tcPr>
          <w:p w:rsidR="005450DF" w:rsidRDefault="005450DF">
            <w:pPr>
              <w:rPr>
                <w:rFonts w:ascii="Arial" w:hAnsi="Arial" w:cs="Arial"/>
                <w:color w:val="000000"/>
                <w:sz w:val="20"/>
                <w:szCs w:val="20"/>
              </w:rPr>
            </w:pPr>
          </w:p>
        </w:tc>
        <w:tc>
          <w:tcPr>
            <w:tcW w:w="1616" w:type="dxa"/>
            <w:shd w:val="clear" w:color="auto" w:fill="FFFFFF"/>
            <w:vAlign w:val="center"/>
          </w:tcPr>
          <w:p w:rsidR="005450DF" w:rsidRDefault="005450DF">
            <w:pPr>
              <w:jc w:val="right"/>
              <w:rPr>
                <w:rFonts w:ascii="Calibri" w:hAnsi="Calibri" w:cs="Calibri"/>
                <w:color w:val="000000"/>
                <w:sz w:val="22"/>
              </w:rPr>
            </w:pPr>
          </w:p>
        </w:tc>
        <w:tc>
          <w:tcPr>
            <w:tcW w:w="1193" w:type="dxa"/>
            <w:shd w:val="clear" w:color="auto" w:fill="auto"/>
            <w:vAlign w:val="bottom"/>
          </w:tcPr>
          <w:p w:rsidR="005450DF" w:rsidRDefault="005450DF">
            <w:pPr>
              <w:rPr>
                <w:rFonts w:ascii="Arial" w:hAnsi="Arial" w:cs="Arial"/>
                <w:color w:val="000000"/>
                <w:sz w:val="20"/>
                <w:szCs w:val="20"/>
              </w:rPr>
            </w:pPr>
          </w:p>
        </w:tc>
        <w:tc>
          <w:tcPr>
            <w:tcW w:w="1840" w:type="dxa"/>
            <w:shd w:val="clear" w:color="auto" w:fill="auto"/>
            <w:vAlign w:val="bottom"/>
          </w:tcPr>
          <w:p w:rsidR="005450DF" w:rsidRDefault="005450DF">
            <w:pPr>
              <w:rPr>
                <w:rFonts w:ascii="Arial" w:hAnsi="Arial" w:cs="Arial"/>
                <w:color w:val="000000"/>
                <w:sz w:val="20"/>
                <w:szCs w:val="20"/>
              </w:rPr>
            </w:pPr>
          </w:p>
        </w:tc>
        <w:tc>
          <w:tcPr>
            <w:tcW w:w="1634" w:type="dxa"/>
            <w:shd w:val="clear" w:color="auto" w:fill="auto"/>
            <w:vAlign w:val="bottom"/>
          </w:tcPr>
          <w:p w:rsidR="005450DF" w:rsidRDefault="005450DF">
            <w:pPr>
              <w:rPr>
                <w:rFonts w:ascii="Arial" w:hAnsi="Arial" w:cs="Arial"/>
                <w:color w:val="000000"/>
                <w:sz w:val="20"/>
                <w:szCs w:val="20"/>
              </w:rPr>
            </w:pPr>
          </w:p>
        </w:tc>
        <w:tc>
          <w:tcPr>
            <w:tcW w:w="1373" w:type="dxa"/>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570"/>
        </w:trPr>
        <w:tc>
          <w:tcPr>
            <w:tcW w:w="15734" w:type="dxa"/>
            <w:gridSpan w:val="8"/>
            <w:shd w:val="clear" w:color="auto" w:fill="auto"/>
            <w:vAlign w:val="center"/>
          </w:tcPr>
          <w:p w:rsidR="005450DF" w:rsidRDefault="00660093">
            <w:pPr>
              <w:widowControl/>
              <w:jc w:val="center"/>
              <w:textAlignment w:val="center"/>
              <w:rPr>
                <w:rFonts w:ascii="宋体" w:eastAsia="宋体" w:hAnsi="宋体" w:cs="宋体"/>
                <w:b/>
                <w:color w:val="000000"/>
                <w:sz w:val="48"/>
                <w:szCs w:val="48"/>
              </w:rPr>
            </w:pPr>
            <w:r>
              <w:rPr>
                <w:rFonts w:ascii="宋体" w:eastAsia="宋体" w:hAnsi="宋体" w:cs="宋体" w:hint="eastAsia"/>
                <w:b/>
                <w:color w:val="000000"/>
                <w:kern w:val="0"/>
                <w:sz w:val="48"/>
                <w:szCs w:val="48"/>
                <w:lang w:bidi="ar"/>
              </w:rPr>
              <w:t>财政拨款收支预算总表</w:t>
            </w:r>
          </w:p>
        </w:tc>
      </w:tr>
      <w:tr w:rsidR="005450DF">
        <w:trPr>
          <w:trHeight w:val="330"/>
        </w:trPr>
        <w:tc>
          <w:tcPr>
            <w:tcW w:w="5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收入</w:t>
            </w:r>
          </w:p>
        </w:tc>
        <w:tc>
          <w:tcPr>
            <w:tcW w:w="102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支出</w:t>
            </w:r>
          </w:p>
        </w:tc>
      </w:tr>
      <w:tr w:rsidR="005450DF">
        <w:trPr>
          <w:trHeight w:val="555"/>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收入项目</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预算数</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功能分类</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一般公共预算拨款</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政府性基金拨款</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支出项目（性质）</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一般公共预算拨款</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政府性基金拨款</w:t>
            </w:r>
          </w:p>
        </w:tc>
      </w:tr>
      <w:tr w:rsidR="005450DF">
        <w:trPr>
          <w:trHeight w:val="450"/>
        </w:trPr>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一、一般公共预算拨款</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69,999.02</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一、一般公共服务支出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一、基本支出</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46,023.52</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540"/>
        </w:trPr>
        <w:tc>
          <w:tcPr>
            <w:tcW w:w="2689"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1</w:t>
            </w:r>
            <w:r>
              <w:rPr>
                <w:rFonts w:ascii="宋体" w:eastAsia="宋体" w:hAnsi="宋体" w:cs="宋体" w:hint="eastAsia"/>
                <w:color w:val="000000"/>
                <w:kern w:val="0"/>
                <w:sz w:val="20"/>
                <w:szCs w:val="20"/>
                <w:lang w:bidi="ar"/>
              </w:rPr>
              <w:t>、自治区本级安排</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63,788.02</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二、外交支出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人员经费</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38,955.78</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720"/>
        </w:trPr>
        <w:tc>
          <w:tcPr>
            <w:tcW w:w="2689"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中央提前下达一般性转移支付（专项）</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4,248.00</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三、国防支出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公用经费</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7,067.74</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480"/>
        </w:trPr>
        <w:tc>
          <w:tcPr>
            <w:tcW w:w="2689"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2</w:t>
            </w:r>
            <w:r>
              <w:rPr>
                <w:rFonts w:ascii="宋体" w:eastAsia="宋体" w:hAnsi="宋体" w:cs="宋体" w:hint="eastAsia"/>
                <w:color w:val="000000"/>
                <w:kern w:val="0"/>
                <w:sz w:val="20"/>
                <w:szCs w:val="20"/>
                <w:lang w:bidi="ar"/>
              </w:rPr>
              <w:t>、中央提前下达专项资金</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6,211.00</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四、公共安全支出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二、项目支出</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34,573.89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555"/>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二、政府性基金预算拨款</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五、教育支出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72,842.33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jc w:val="right"/>
              <w:rPr>
                <w:rFonts w:ascii="宋体" w:eastAsia="宋体" w:hAnsi="宋体" w:cs="宋体"/>
                <w:color w:val="000000"/>
                <w:sz w:val="20"/>
                <w:szCs w:val="20"/>
              </w:rPr>
            </w:pPr>
          </w:p>
        </w:tc>
      </w:tr>
      <w:tr w:rsidR="005450DF">
        <w:trPr>
          <w:trHeight w:val="480"/>
        </w:trPr>
        <w:tc>
          <w:tcPr>
            <w:tcW w:w="2689"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1</w:t>
            </w:r>
            <w:r>
              <w:rPr>
                <w:rFonts w:ascii="宋体" w:eastAsia="宋体" w:hAnsi="宋体" w:cs="宋体" w:hint="eastAsia"/>
                <w:color w:val="000000"/>
                <w:kern w:val="0"/>
                <w:sz w:val="20"/>
                <w:szCs w:val="20"/>
                <w:lang w:bidi="ar"/>
              </w:rPr>
              <w:t>、自治区本级安排</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六、科学技术支出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1,200.33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54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2</w:t>
            </w:r>
            <w:r>
              <w:rPr>
                <w:rFonts w:ascii="宋体" w:eastAsia="宋体" w:hAnsi="宋体" w:cs="宋体" w:hint="eastAsia"/>
                <w:color w:val="000000"/>
                <w:kern w:val="0"/>
                <w:sz w:val="20"/>
                <w:szCs w:val="20"/>
                <w:lang w:bidi="ar"/>
              </w:rPr>
              <w:t>、中央提前下达专项资金</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七、文化旅游体育与传媒支出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81.60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八、社会保障和就业支出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1,323.53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九、卫生健康支出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2,513.12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十、节能环保支出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十一、城乡社区支出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tcBorders>
            <w:shd w:val="clear" w:color="auto" w:fill="FFFFFF"/>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十二、农林水支出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tcBorders>
            <w:shd w:val="clear" w:color="auto" w:fill="FFFFFF"/>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十三、交通运输支出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十四、资源勘探信息等支出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十五、商业服务业等支出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十六、金融支出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十七、援助其他地区支出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十八、自然资源海洋气象等支出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十九、住房保障支出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2,400.00</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二十、粮油物资储备支出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二十一、灾害防治及应急管理支出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二十二、预备费</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本年收入合计</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69,999.02</w:t>
            </w:r>
          </w:p>
        </w:tc>
        <w:tc>
          <w:tcPr>
            <w:tcW w:w="2617"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二十三、其他支出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三、上年结转</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10,598.39</w:t>
            </w:r>
          </w:p>
        </w:tc>
        <w:tc>
          <w:tcPr>
            <w:tcW w:w="2617"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二十四、债务付息支出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480"/>
        </w:trPr>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其中：一般公共预算拨款</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10,598.39</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二十五、债务发行费用支出</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480"/>
        </w:trPr>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政府性基金预算拨款</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本年支出合计</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80,597.41</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本年支出合计</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80,597.41</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结转下年</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结转下年</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收入总计</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80,597.41</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本年支出总计</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80,597.41</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本年支出总计</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80,597.41</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bl>
    <w:p w:rsidR="005450DF" w:rsidRDefault="005450DF">
      <w:pPr>
        <w:widowControl/>
        <w:jc w:val="left"/>
        <w:rPr>
          <w:rFonts w:ascii="宋体" w:eastAsia="宋体" w:hAnsi="宋体" w:cs="Arial"/>
          <w:color w:val="000000"/>
          <w:kern w:val="0"/>
          <w:sz w:val="22"/>
        </w:rPr>
        <w:sectPr w:rsidR="005450DF">
          <w:pgSz w:w="16838" w:h="11906" w:orient="landscape"/>
          <w:pgMar w:top="567" w:right="567" w:bottom="567" w:left="567" w:header="0" w:footer="0" w:gutter="0"/>
          <w:cols w:space="425"/>
          <w:docGrid w:linePitch="312" w:charSpace="453"/>
        </w:sectPr>
      </w:pPr>
    </w:p>
    <w:tbl>
      <w:tblPr>
        <w:tblW w:w="10802" w:type="dxa"/>
        <w:tblLayout w:type="fixed"/>
        <w:tblCellMar>
          <w:top w:w="15" w:type="dxa"/>
          <w:left w:w="15" w:type="dxa"/>
          <w:bottom w:w="15" w:type="dxa"/>
          <w:right w:w="15" w:type="dxa"/>
        </w:tblCellMar>
        <w:tblLook w:val="04A0" w:firstRow="1" w:lastRow="0" w:firstColumn="1" w:lastColumn="0" w:noHBand="0" w:noVBand="1"/>
      </w:tblPr>
      <w:tblGrid>
        <w:gridCol w:w="1404"/>
        <w:gridCol w:w="1063"/>
        <w:gridCol w:w="1053"/>
        <w:gridCol w:w="3159"/>
        <w:gridCol w:w="1659"/>
        <w:gridCol w:w="1090"/>
        <w:gridCol w:w="1374"/>
      </w:tblGrid>
      <w:tr w:rsidR="005450DF">
        <w:trPr>
          <w:trHeight w:val="360"/>
        </w:trPr>
        <w:tc>
          <w:tcPr>
            <w:tcW w:w="1404" w:type="dxa"/>
            <w:shd w:val="clear" w:color="auto" w:fill="auto"/>
            <w:vAlign w:val="center"/>
          </w:tcPr>
          <w:bookmarkEnd w:id="1"/>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2</w:t>
            </w:r>
          </w:p>
        </w:tc>
        <w:tc>
          <w:tcPr>
            <w:tcW w:w="1063" w:type="dxa"/>
            <w:shd w:val="clear" w:color="auto" w:fill="auto"/>
            <w:vAlign w:val="center"/>
          </w:tcPr>
          <w:p w:rsidR="005450DF" w:rsidRDefault="005450DF">
            <w:pPr>
              <w:jc w:val="right"/>
              <w:rPr>
                <w:rFonts w:ascii="宋体" w:eastAsia="宋体" w:hAnsi="宋体" w:cs="宋体"/>
                <w:color w:val="000000"/>
                <w:sz w:val="20"/>
                <w:szCs w:val="20"/>
              </w:rPr>
            </w:pPr>
          </w:p>
        </w:tc>
        <w:tc>
          <w:tcPr>
            <w:tcW w:w="1053" w:type="dxa"/>
            <w:shd w:val="clear" w:color="auto" w:fill="auto"/>
            <w:vAlign w:val="center"/>
          </w:tcPr>
          <w:p w:rsidR="005450DF" w:rsidRDefault="005450DF">
            <w:pPr>
              <w:jc w:val="right"/>
              <w:rPr>
                <w:rFonts w:ascii="宋体" w:eastAsia="宋体" w:hAnsi="宋体" w:cs="宋体"/>
                <w:color w:val="000000"/>
                <w:sz w:val="20"/>
                <w:szCs w:val="20"/>
              </w:rPr>
            </w:pPr>
          </w:p>
        </w:tc>
        <w:tc>
          <w:tcPr>
            <w:tcW w:w="3159" w:type="dxa"/>
            <w:shd w:val="clear" w:color="auto" w:fill="auto"/>
            <w:vAlign w:val="center"/>
          </w:tcPr>
          <w:p w:rsidR="005450DF" w:rsidRDefault="005450DF">
            <w:pPr>
              <w:jc w:val="right"/>
              <w:rPr>
                <w:rFonts w:ascii="宋体" w:eastAsia="宋体" w:hAnsi="宋体" w:cs="宋体"/>
                <w:color w:val="000000"/>
                <w:sz w:val="20"/>
                <w:szCs w:val="20"/>
              </w:rPr>
            </w:pPr>
          </w:p>
        </w:tc>
        <w:tc>
          <w:tcPr>
            <w:tcW w:w="1659" w:type="dxa"/>
            <w:shd w:val="clear" w:color="auto" w:fill="auto"/>
            <w:vAlign w:val="center"/>
          </w:tcPr>
          <w:p w:rsidR="005450DF" w:rsidRDefault="005450DF">
            <w:pPr>
              <w:jc w:val="right"/>
              <w:rPr>
                <w:rFonts w:ascii="宋体" w:eastAsia="宋体" w:hAnsi="宋体" w:cs="宋体"/>
                <w:color w:val="000000"/>
                <w:sz w:val="20"/>
                <w:szCs w:val="20"/>
              </w:rPr>
            </w:pPr>
          </w:p>
        </w:tc>
        <w:tc>
          <w:tcPr>
            <w:tcW w:w="1090" w:type="dxa"/>
            <w:shd w:val="clear" w:color="auto" w:fill="auto"/>
            <w:vAlign w:val="center"/>
          </w:tcPr>
          <w:p w:rsidR="005450DF" w:rsidRDefault="005450DF">
            <w:pPr>
              <w:jc w:val="right"/>
              <w:rPr>
                <w:rFonts w:ascii="宋体" w:eastAsia="宋体" w:hAnsi="宋体" w:cs="宋体"/>
                <w:color w:val="000000"/>
                <w:sz w:val="20"/>
                <w:szCs w:val="20"/>
              </w:rPr>
            </w:pPr>
          </w:p>
        </w:tc>
        <w:tc>
          <w:tcPr>
            <w:tcW w:w="1374" w:type="dxa"/>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90"/>
        </w:trPr>
        <w:tc>
          <w:tcPr>
            <w:tcW w:w="10802" w:type="dxa"/>
            <w:gridSpan w:val="7"/>
            <w:shd w:val="clear" w:color="auto" w:fill="auto"/>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一般公共预算财政拨款支出预算表</w:t>
            </w:r>
          </w:p>
        </w:tc>
      </w:tr>
      <w:tr w:rsidR="005450DF">
        <w:trPr>
          <w:trHeight w:val="450"/>
        </w:trPr>
        <w:tc>
          <w:tcPr>
            <w:tcW w:w="66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功能科目分类</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合计</w:t>
            </w:r>
          </w:p>
        </w:tc>
        <w:tc>
          <w:tcPr>
            <w:tcW w:w="1090" w:type="dxa"/>
            <w:vMerge w:val="restart"/>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基本支出</w:t>
            </w:r>
          </w:p>
        </w:tc>
        <w:tc>
          <w:tcPr>
            <w:tcW w:w="1374" w:type="dxa"/>
            <w:vMerge w:val="restart"/>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项目支出</w:t>
            </w:r>
          </w:p>
        </w:tc>
      </w:tr>
      <w:tr w:rsidR="005450DF">
        <w:trPr>
          <w:trHeight w:val="45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类</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款</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w:t>
            </w:r>
          </w:p>
        </w:tc>
        <w:tc>
          <w:tcPr>
            <w:tcW w:w="3159"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2"/>
              </w:rPr>
            </w:pPr>
          </w:p>
        </w:tc>
        <w:tc>
          <w:tcPr>
            <w:tcW w:w="1090" w:type="dxa"/>
            <w:vMerge/>
            <w:tcBorders>
              <w:top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2"/>
              </w:rPr>
            </w:pPr>
          </w:p>
        </w:tc>
        <w:tc>
          <w:tcPr>
            <w:tcW w:w="1374" w:type="dxa"/>
            <w:vMerge/>
            <w:tcBorders>
              <w:top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2"/>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1</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2</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合计</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80,597.41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46,023.52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34,573.89</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一般公共服务支出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10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人力资源事务</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引进人才费用</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教育支出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72,842.33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39,786.87</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33,055.46</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普通教育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72,196.39</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39,786.87</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32,409.52</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初中教育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285.00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高中教育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1,317.96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3.96</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1,314.00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高等教育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64,694.44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38,052.65</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26,641.79</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其他普通教育支出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5,898.99</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1,730.26</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4,168.73</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留学教育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来华留学教育</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311.60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311.60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其他留学教育支出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进修及培训</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156.94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156.94</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156.94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156.94</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99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其他教育支出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169.00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169.00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99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其他教育支出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科学技术支出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1,200.33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1,200.33</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基础研究</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自然科学基金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技术研究与开发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1,140.33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1,140.33</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应用技术研究与开发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产业技术研究与开发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182.02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182.02</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科技成果转化与扩散</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其他技术研究与开发支出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648.31</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648.31</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文化旅游体育与传媒支出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81.60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81.60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文化和旅游</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文化创作与保护</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99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其他文化体育与传媒支出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66.60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66.60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99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其他文化体育与传媒支出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社会保障和就业支出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1,323.53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1,323.53</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行政事业单位离退休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1,323.53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1,323.53</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事业单位离退休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1,186.47</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1,186.47</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　　</w:t>
            </w:r>
            <w:r>
              <w:rPr>
                <w:rFonts w:ascii="宋体" w:eastAsia="宋体" w:hAnsi="宋体" w:cs="宋体" w:hint="eastAsia"/>
                <w:color w:val="000000"/>
                <w:kern w:val="0"/>
                <w:sz w:val="20"/>
                <w:szCs w:val="20"/>
                <w:lang w:bidi="ar"/>
              </w:rPr>
              <w:t>208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97.90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97.90</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机关事业单位职业年金缴费支出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39.16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39.16</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210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卫生健康支出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2,513.12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2,513.12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行政事业单位医疗</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2,513.12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2,513.12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事业单位医疗</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1,513.12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1,513.12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1,000.00</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215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资源勘探信息等支出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工业和信息产业监管</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其他工业和信息产业监管支出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221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住房保障支出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2,400.00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2,400.00</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住房改革支出</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2,400.00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2,400.00</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r>
      <w:tr w:rsidR="005450DF">
        <w:trPr>
          <w:trHeight w:val="36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221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2,400.00</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widowControl/>
        <w:jc w:val="left"/>
        <w:rPr>
          <w:rFonts w:ascii="Arial" w:eastAsia="宋体" w:hAnsi="Arial" w:cs="Arial"/>
          <w:color w:val="000000"/>
          <w:kern w:val="0"/>
          <w:sz w:val="20"/>
          <w:szCs w:val="20"/>
        </w:rPr>
        <w:sectPr w:rsidR="005450DF">
          <w:pgSz w:w="11906" w:h="16838"/>
          <w:pgMar w:top="567" w:right="567" w:bottom="567" w:left="567" w:header="0" w:footer="0" w:gutter="0"/>
          <w:cols w:space="425"/>
          <w:docGrid w:linePitch="312" w:charSpace="453"/>
        </w:sectPr>
      </w:pPr>
      <w:bookmarkStart w:id="2" w:name="RANGE!A1:F35"/>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2731"/>
        <w:gridCol w:w="2133"/>
        <w:gridCol w:w="4609"/>
        <w:gridCol w:w="2058"/>
        <w:gridCol w:w="4203"/>
      </w:tblGrid>
      <w:tr w:rsidR="005450DF">
        <w:trPr>
          <w:trHeight w:val="360"/>
        </w:trPr>
        <w:tc>
          <w:tcPr>
            <w:tcW w:w="2731" w:type="dxa"/>
            <w:shd w:val="clear" w:color="auto" w:fill="auto"/>
            <w:vAlign w:val="center"/>
          </w:tcPr>
          <w:bookmarkEnd w:id="2"/>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3</w:t>
            </w:r>
          </w:p>
        </w:tc>
        <w:tc>
          <w:tcPr>
            <w:tcW w:w="2133" w:type="dxa"/>
            <w:shd w:val="clear" w:color="auto" w:fill="auto"/>
            <w:vAlign w:val="center"/>
          </w:tcPr>
          <w:p w:rsidR="005450DF" w:rsidRDefault="005450DF">
            <w:pPr>
              <w:jc w:val="center"/>
              <w:rPr>
                <w:rFonts w:ascii="宋体" w:eastAsia="宋体" w:hAnsi="宋体" w:cs="宋体"/>
                <w:color w:val="000000"/>
                <w:sz w:val="20"/>
                <w:szCs w:val="20"/>
              </w:rPr>
            </w:pPr>
          </w:p>
        </w:tc>
        <w:tc>
          <w:tcPr>
            <w:tcW w:w="4609" w:type="dxa"/>
            <w:shd w:val="clear" w:color="auto" w:fill="auto"/>
            <w:vAlign w:val="center"/>
          </w:tcPr>
          <w:p w:rsidR="005450DF" w:rsidRDefault="005450DF">
            <w:pPr>
              <w:jc w:val="center"/>
              <w:rPr>
                <w:rFonts w:ascii="宋体" w:eastAsia="宋体" w:hAnsi="宋体" w:cs="宋体"/>
                <w:color w:val="000000"/>
                <w:sz w:val="20"/>
                <w:szCs w:val="20"/>
              </w:rPr>
            </w:pPr>
          </w:p>
        </w:tc>
        <w:tc>
          <w:tcPr>
            <w:tcW w:w="6261" w:type="dxa"/>
            <w:gridSpan w:val="2"/>
            <w:shd w:val="clear" w:color="auto" w:fill="auto"/>
            <w:vAlign w:val="center"/>
          </w:tcPr>
          <w:p w:rsidR="005450DF" w:rsidRDefault="005450DF">
            <w:pPr>
              <w:rPr>
                <w:rFonts w:ascii="宋体" w:eastAsia="宋体" w:hAnsi="宋体" w:cs="宋体"/>
                <w:color w:val="000000"/>
                <w:sz w:val="20"/>
                <w:szCs w:val="20"/>
              </w:rPr>
            </w:pPr>
          </w:p>
        </w:tc>
      </w:tr>
      <w:tr w:rsidR="005450DF">
        <w:trPr>
          <w:trHeight w:val="660"/>
        </w:trPr>
        <w:tc>
          <w:tcPr>
            <w:tcW w:w="15734" w:type="dxa"/>
            <w:gridSpan w:val="5"/>
            <w:shd w:val="clear" w:color="auto" w:fill="auto"/>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一般公共预算财政拨款基本支出预算表</w:t>
            </w:r>
          </w:p>
        </w:tc>
      </w:tr>
      <w:tr w:rsidR="005450DF">
        <w:trPr>
          <w:trHeight w:val="510"/>
        </w:trPr>
        <w:tc>
          <w:tcPr>
            <w:tcW w:w="115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经济分类科目</w:t>
            </w:r>
          </w:p>
        </w:tc>
        <w:tc>
          <w:tcPr>
            <w:tcW w:w="42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r>
      <w:tr w:rsidR="005450DF">
        <w:trPr>
          <w:trHeight w:val="330"/>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类</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款</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42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28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合计</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46,023.52</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工资福利支出</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37,700.66</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8,850.00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4,355.48</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17,500.00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97.90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39.16</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1,513.12</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2,400.00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301</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商品和服务支出</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7,067.74</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23.96</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488.00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502.00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1,925.00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1,104.00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1,058.00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1,002.00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10.78</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302</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其他商品和服务支出</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532.00</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303</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对个人和家庭的补助</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1,255.12</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303</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343.48</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303</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842.99</w:t>
            </w:r>
          </w:p>
        </w:tc>
      </w:tr>
      <w:tr w:rsidR="005450DF">
        <w:trPr>
          <w:trHeight w:val="345"/>
        </w:trPr>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303</w:t>
            </w:r>
          </w:p>
        </w:tc>
        <w:tc>
          <w:tcPr>
            <w:tcW w:w="2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w:t>
            </w:r>
          </w:p>
        </w:tc>
        <w:tc>
          <w:tcPr>
            <w:tcW w:w="66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68.65</w:t>
            </w: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3312"/>
        <w:gridCol w:w="3447"/>
        <w:gridCol w:w="2815"/>
        <w:gridCol w:w="1831"/>
        <w:gridCol w:w="2129"/>
        <w:gridCol w:w="2200"/>
      </w:tblGrid>
      <w:tr w:rsidR="005450DF">
        <w:trPr>
          <w:trHeight w:val="300"/>
        </w:trPr>
        <w:tc>
          <w:tcPr>
            <w:tcW w:w="3312" w:type="dxa"/>
            <w:shd w:val="clear" w:color="auto" w:fill="auto"/>
            <w:vAlign w:val="bottom"/>
          </w:tcPr>
          <w:p w:rsidR="005450DF" w:rsidRDefault="00660093">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lastRenderedPageBreak/>
              <w:t>表</w:t>
            </w:r>
            <w:r>
              <w:rPr>
                <w:rFonts w:ascii="Arial" w:eastAsia="宋体" w:hAnsi="Arial" w:cs="Arial"/>
                <w:color w:val="000000"/>
                <w:kern w:val="0"/>
                <w:sz w:val="20"/>
                <w:szCs w:val="20"/>
                <w:lang w:bidi="ar"/>
              </w:rPr>
              <w:t>4</w:t>
            </w:r>
          </w:p>
        </w:tc>
        <w:tc>
          <w:tcPr>
            <w:tcW w:w="3447" w:type="dxa"/>
            <w:shd w:val="clear" w:color="auto" w:fill="auto"/>
            <w:vAlign w:val="bottom"/>
          </w:tcPr>
          <w:p w:rsidR="005450DF" w:rsidRDefault="005450DF">
            <w:pPr>
              <w:rPr>
                <w:rFonts w:ascii="Calibri" w:hAnsi="Calibri" w:cs="Calibri"/>
                <w:color w:val="000000"/>
                <w:sz w:val="22"/>
              </w:rPr>
            </w:pPr>
          </w:p>
        </w:tc>
        <w:tc>
          <w:tcPr>
            <w:tcW w:w="2815" w:type="dxa"/>
            <w:shd w:val="clear" w:color="auto" w:fill="auto"/>
            <w:vAlign w:val="bottom"/>
          </w:tcPr>
          <w:p w:rsidR="005450DF" w:rsidRDefault="005450DF">
            <w:pPr>
              <w:rPr>
                <w:rFonts w:ascii="Calibri" w:hAnsi="Calibri" w:cs="Calibri"/>
                <w:color w:val="000000"/>
                <w:sz w:val="22"/>
              </w:rPr>
            </w:pPr>
          </w:p>
        </w:tc>
        <w:tc>
          <w:tcPr>
            <w:tcW w:w="1831" w:type="dxa"/>
            <w:shd w:val="clear" w:color="auto" w:fill="auto"/>
            <w:vAlign w:val="center"/>
          </w:tcPr>
          <w:p w:rsidR="005450DF" w:rsidRDefault="005450DF">
            <w:pPr>
              <w:jc w:val="right"/>
              <w:rPr>
                <w:rFonts w:ascii="宋体" w:eastAsia="宋体" w:hAnsi="宋体" w:cs="宋体"/>
                <w:color w:val="000000"/>
                <w:sz w:val="20"/>
                <w:szCs w:val="20"/>
              </w:rPr>
            </w:pPr>
          </w:p>
        </w:tc>
        <w:tc>
          <w:tcPr>
            <w:tcW w:w="2129" w:type="dxa"/>
            <w:shd w:val="clear" w:color="auto" w:fill="auto"/>
            <w:vAlign w:val="bottom"/>
          </w:tcPr>
          <w:p w:rsidR="005450DF" w:rsidRDefault="005450DF">
            <w:pPr>
              <w:rPr>
                <w:rFonts w:ascii="Calibri" w:hAnsi="Calibri" w:cs="Calibri"/>
                <w:color w:val="000000"/>
                <w:sz w:val="22"/>
              </w:rPr>
            </w:pPr>
          </w:p>
        </w:tc>
        <w:tc>
          <w:tcPr>
            <w:tcW w:w="2200" w:type="dxa"/>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510"/>
        </w:trPr>
        <w:tc>
          <w:tcPr>
            <w:tcW w:w="15734" w:type="dxa"/>
            <w:gridSpan w:val="6"/>
            <w:shd w:val="clear" w:color="auto" w:fill="auto"/>
            <w:vAlign w:val="center"/>
          </w:tcPr>
          <w:p w:rsidR="005450DF" w:rsidRDefault="00660093">
            <w:pPr>
              <w:widowControl/>
              <w:jc w:val="center"/>
              <w:textAlignment w:val="center"/>
              <w:rPr>
                <w:rFonts w:ascii="宋体" w:eastAsia="宋体" w:hAnsi="宋体" w:cs="宋体"/>
                <w:b/>
                <w:color w:val="000000"/>
                <w:sz w:val="48"/>
                <w:szCs w:val="48"/>
              </w:rPr>
            </w:pPr>
            <w:r>
              <w:rPr>
                <w:rFonts w:ascii="宋体" w:eastAsia="宋体" w:hAnsi="宋体" w:cs="宋体" w:hint="eastAsia"/>
                <w:b/>
                <w:color w:val="000000"/>
                <w:kern w:val="0"/>
                <w:sz w:val="48"/>
                <w:szCs w:val="48"/>
                <w:lang w:bidi="ar"/>
              </w:rPr>
              <w:t>收支预算总表</w:t>
            </w:r>
          </w:p>
        </w:tc>
      </w:tr>
      <w:tr w:rsidR="005450DF">
        <w:trPr>
          <w:trHeight w:val="120"/>
        </w:trPr>
        <w:tc>
          <w:tcPr>
            <w:tcW w:w="3312" w:type="dxa"/>
            <w:shd w:val="clear" w:color="auto" w:fill="auto"/>
            <w:vAlign w:val="bottom"/>
          </w:tcPr>
          <w:p w:rsidR="005450DF" w:rsidRDefault="005450DF">
            <w:pPr>
              <w:rPr>
                <w:rFonts w:ascii="Calibri" w:hAnsi="Calibri" w:cs="Calibri"/>
                <w:color w:val="000000"/>
                <w:sz w:val="22"/>
              </w:rPr>
            </w:pPr>
          </w:p>
        </w:tc>
        <w:tc>
          <w:tcPr>
            <w:tcW w:w="3447" w:type="dxa"/>
            <w:shd w:val="clear" w:color="auto" w:fill="auto"/>
            <w:vAlign w:val="bottom"/>
          </w:tcPr>
          <w:p w:rsidR="005450DF" w:rsidRDefault="005450DF">
            <w:pPr>
              <w:rPr>
                <w:rFonts w:ascii="Calibri" w:hAnsi="Calibri" w:cs="Calibri"/>
                <w:color w:val="000000"/>
                <w:sz w:val="22"/>
              </w:rPr>
            </w:pPr>
          </w:p>
        </w:tc>
        <w:tc>
          <w:tcPr>
            <w:tcW w:w="2815" w:type="dxa"/>
            <w:shd w:val="clear" w:color="auto" w:fill="auto"/>
            <w:vAlign w:val="bottom"/>
          </w:tcPr>
          <w:p w:rsidR="005450DF" w:rsidRDefault="005450DF">
            <w:pPr>
              <w:rPr>
                <w:rFonts w:ascii="Calibri" w:hAnsi="Calibri" w:cs="Calibri"/>
                <w:color w:val="000000"/>
                <w:sz w:val="22"/>
              </w:rPr>
            </w:pPr>
          </w:p>
        </w:tc>
        <w:tc>
          <w:tcPr>
            <w:tcW w:w="1831" w:type="dxa"/>
            <w:shd w:val="clear" w:color="auto" w:fill="auto"/>
            <w:vAlign w:val="center"/>
          </w:tcPr>
          <w:p w:rsidR="005450DF" w:rsidRDefault="005450DF">
            <w:pPr>
              <w:jc w:val="right"/>
              <w:rPr>
                <w:rFonts w:ascii="宋体" w:eastAsia="宋体" w:hAnsi="宋体" w:cs="宋体"/>
                <w:color w:val="000000"/>
                <w:sz w:val="20"/>
                <w:szCs w:val="20"/>
              </w:rPr>
            </w:pPr>
          </w:p>
        </w:tc>
        <w:tc>
          <w:tcPr>
            <w:tcW w:w="2129" w:type="dxa"/>
            <w:shd w:val="clear" w:color="auto" w:fill="auto"/>
            <w:vAlign w:val="bottom"/>
          </w:tcPr>
          <w:p w:rsidR="005450DF" w:rsidRDefault="005450DF">
            <w:pPr>
              <w:rPr>
                <w:rFonts w:ascii="Calibri" w:hAnsi="Calibri" w:cs="Calibri"/>
                <w:color w:val="000000"/>
                <w:sz w:val="22"/>
              </w:rPr>
            </w:pPr>
          </w:p>
        </w:tc>
        <w:tc>
          <w:tcPr>
            <w:tcW w:w="2200" w:type="dxa"/>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5450DF">
        <w:trPr>
          <w:trHeight w:val="300"/>
        </w:trPr>
        <w:tc>
          <w:tcPr>
            <w:tcW w:w="6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收入</w:t>
            </w:r>
          </w:p>
        </w:tc>
        <w:tc>
          <w:tcPr>
            <w:tcW w:w="8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支出</w:t>
            </w: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收入项目</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预算数</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功能分类</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预算数</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支出项目（性质）</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预算数</w:t>
            </w: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一、一般公共预算拨款</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69,999.02</w:t>
            </w: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一、一般公共服务支出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一、基本支出</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80,992.76</w:t>
            </w: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1</w:t>
            </w:r>
            <w:r>
              <w:rPr>
                <w:rFonts w:ascii="宋体" w:eastAsia="宋体" w:hAnsi="宋体" w:cs="宋体" w:hint="eastAsia"/>
                <w:color w:val="000000"/>
                <w:kern w:val="0"/>
                <w:sz w:val="20"/>
                <w:szCs w:val="20"/>
                <w:lang w:bidi="ar"/>
              </w:rPr>
              <w:t>、自治区本级安排</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63,788.02</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二、外交支出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人员经费</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58,033.02</w:t>
            </w: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中央提前下达一般性转移支付（专项）</w:t>
            </w:r>
            <w:r>
              <w:rPr>
                <w:rFonts w:ascii="宋体" w:eastAsia="宋体" w:hAnsi="宋体" w:cs="宋体" w:hint="eastAsia"/>
                <w:color w:val="000000"/>
                <w:kern w:val="0"/>
                <w:sz w:val="20"/>
                <w:szCs w:val="20"/>
                <w:lang w:bidi="ar"/>
              </w:rPr>
              <w:t xml:space="preserve"> </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4,248.00</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三、国防支出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公用经费</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22,959.74</w:t>
            </w:r>
          </w:p>
        </w:tc>
      </w:tr>
      <w:tr w:rsidR="005450DF">
        <w:trPr>
          <w:trHeight w:val="315"/>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2</w:t>
            </w:r>
            <w:r>
              <w:rPr>
                <w:rFonts w:ascii="宋体" w:eastAsia="宋体" w:hAnsi="宋体" w:cs="宋体" w:hint="eastAsia"/>
                <w:color w:val="000000"/>
                <w:kern w:val="0"/>
                <w:sz w:val="20"/>
                <w:szCs w:val="20"/>
                <w:lang w:bidi="ar"/>
              </w:rPr>
              <w:t>、中央提前下达专项资金</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6,211.00</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四、公共安全支出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二、项目支出</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34,573.89</w:t>
            </w: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二、政府性基金预算拨款</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五、教育支出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99,635.61</w:t>
            </w: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三、经营费用</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1,100.00</w:t>
            </w: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1</w:t>
            </w:r>
            <w:r>
              <w:rPr>
                <w:rFonts w:ascii="宋体" w:eastAsia="宋体" w:hAnsi="宋体" w:cs="宋体" w:hint="eastAsia"/>
                <w:color w:val="000000"/>
                <w:kern w:val="0"/>
                <w:sz w:val="20"/>
                <w:szCs w:val="20"/>
                <w:lang w:bidi="ar"/>
              </w:rPr>
              <w:t>、自治区本级安排</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六、科学技术支出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1,200.33</w:t>
            </w: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四、上缴上级支出</w:t>
            </w:r>
          </w:p>
        </w:tc>
        <w:tc>
          <w:tcPr>
            <w:tcW w:w="2200" w:type="dxa"/>
            <w:tcBorders>
              <w:left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2</w:t>
            </w:r>
            <w:r>
              <w:rPr>
                <w:rFonts w:ascii="宋体" w:eastAsia="宋体" w:hAnsi="宋体" w:cs="宋体" w:hint="eastAsia"/>
                <w:color w:val="000000"/>
                <w:kern w:val="0"/>
                <w:sz w:val="20"/>
                <w:szCs w:val="20"/>
                <w:lang w:bidi="ar"/>
              </w:rPr>
              <w:t>、中央提前下达专项资金</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七、文化旅游体育与传媒支出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81.60</w:t>
            </w:r>
          </w:p>
        </w:tc>
        <w:tc>
          <w:tcPr>
            <w:tcW w:w="2129"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五、对附属单位补助支出</w:t>
            </w:r>
          </w:p>
        </w:tc>
        <w:tc>
          <w:tcPr>
            <w:tcW w:w="2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三、事业收入</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24,356.84</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八、社会保障和就业支出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9,929.49</w:t>
            </w: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六、其他费用</w:t>
            </w:r>
          </w:p>
        </w:tc>
        <w:tc>
          <w:tcPr>
            <w:tcW w:w="2200" w:type="dxa"/>
            <w:tcBorders>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其中：纳入专户管理的教育收费收入</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21,750.00</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九、卫生健康支出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3,033.12</w:t>
            </w: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四、经营收入</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1,100.00</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十、节能环保支出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五、其他收入</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2,601.09</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十一、城乡社区支出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六、上级单位补助收入</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十二、农林水支出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七、附属单位上缴收入</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十三、交通运输支出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十四、资源勘探信息等支出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十五、商业服务业等支出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十六、金融支出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十七、援助其他地区支出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十八、自然资源海洋气象等支出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十九、住房保障支出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2,550.00</w:t>
            </w: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二十、粮油物资储备支出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二十一、灾害防治及应急管理支出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3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二十二、预备费</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本年收入合计</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98,056.95</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二十三、其他支出</w:t>
            </w:r>
          </w:p>
        </w:tc>
        <w:tc>
          <w:tcPr>
            <w:tcW w:w="1831"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八、上年结转</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10,598.39</w:t>
            </w:r>
          </w:p>
        </w:tc>
        <w:tc>
          <w:tcPr>
            <w:tcW w:w="2815" w:type="dxa"/>
            <w:tcBorders>
              <w:top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二十四、债务付息支出</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本年支出合计</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116,666.65</w:t>
            </w: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其中：一般公共预算拨款</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10,598.39</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66009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二十五、债务发行费用支出</w:t>
            </w:r>
          </w:p>
        </w:tc>
        <w:tc>
          <w:tcPr>
            <w:tcW w:w="1831" w:type="dxa"/>
            <w:tcBorders>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六、结转下年</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政府性基金预算拨款</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宋体" w:eastAsia="宋体" w:hAnsi="宋体" w:cs="宋体"/>
                <w:color w:val="000000"/>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事业收入（含教育收费）</w:t>
            </w:r>
          </w:p>
        </w:tc>
        <w:tc>
          <w:tcPr>
            <w:tcW w:w="3447" w:type="dxa"/>
            <w:tcBorders>
              <w:top w:val="single" w:sz="4" w:space="0" w:color="000000"/>
              <w:left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本年支出合计</w:t>
            </w:r>
          </w:p>
        </w:tc>
        <w:tc>
          <w:tcPr>
            <w:tcW w:w="1831" w:type="dxa"/>
            <w:tcBorders>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116,666.65</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FFFFFF"/>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其他资金</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815" w:type="dxa"/>
            <w:tcBorders>
              <w:top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结转下年</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九、用事业基金弥补收支差额</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8,011.31</w:t>
            </w:r>
          </w:p>
        </w:tc>
        <w:tc>
          <w:tcPr>
            <w:tcW w:w="2815" w:type="dxa"/>
            <w:tcBorders>
              <w:top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50DF" w:rsidRDefault="005450DF">
            <w:pPr>
              <w:jc w:val="right"/>
              <w:rPr>
                <w:rFonts w:ascii="宋体" w:eastAsia="宋体" w:hAnsi="宋体" w:cs="宋体"/>
                <w:color w:val="000000"/>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300"/>
        </w:trPr>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收入总计</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116,666.65</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本年支出总计</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116,666.65</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本年支出总计</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116,666.65</w:t>
            </w: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942"/>
        <w:gridCol w:w="857"/>
        <w:gridCol w:w="842"/>
        <w:gridCol w:w="1728"/>
        <w:gridCol w:w="1142"/>
        <w:gridCol w:w="1185"/>
        <w:gridCol w:w="1342"/>
        <w:gridCol w:w="828"/>
        <w:gridCol w:w="1071"/>
        <w:gridCol w:w="1085"/>
        <w:gridCol w:w="943"/>
        <w:gridCol w:w="756"/>
        <w:gridCol w:w="928"/>
        <w:gridCol w:w="943"/>
        <w:gridCol w:w="1142"/>
      </w:tblGrid>
      <w:tr w:rsidR="005450DF">
        <w:trPr>
          <w:trHeight w:val="360"/>
        </w:trPr>
        <w:tc>
          <w:tcPr>
            <w:tcW w:w="942" w:type="dxa"/>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5</w:t>
            </w:r>
          </w:p>
        </w:tc>
        <w:tc>
          <w:tcPr>
            <w:tcW w:w="857" w:type="dxa"/>
            <w:shd w:val="clear" w:color="auto" w:fill="auto"/>
            <w:vAlign w:val="center"/>
          </w:tcPr>
          <w:p w:rsidR="005450DF" w:rsidRDefault="005450DF">
            <w:pPr>
              <w:jc w:val="center"/>
              <w:rPr>
                <w:rFonts w:ascii="宋体" w:eastAsia="宋体" w:hAnsi="宋体" w:cs="宋体"/>
                <w:color w:val="000000"/>
                <w:sz w:val="20"/>
                <w:szCs w:val="20"/>
              </w:rPr>
            </w:pPr>
          </w:p>
        </w:tc>
        <w:tc>
          <w:tcPr>
            <w:tcW w:w="842" w:type="dxa"/>
            <w:shd w:val="clear" w:color="auto" w:fill="auto"/>
            <w:vAlign w:val="center"/>
          </w:tcPr>
          <w:p w:rsidR="005450DF" w:rsidRDefault="005450DF">
            <w:pPr>
              <w:rPr>
                <w:rFonts w:ascii="宋体" w:eastAsia="宋体" w:hAnsi="宋体" w:cs="宋体"/>
                <w:color w:val="000000"/>
                <w:sz w:val="20"/>
                <w:szCs w:val="20"/>
              </w:rPr>
            </w:pPr>
          </w:p>
        </w:tc>
        <w:tc>
          <w:tcPr>
            <w:tcW w:w="1728" w:type="dxa"/>
            <w:shd w:val="clear" w:color="auto" w:fill="auto"/>
            <w:vAlign w:val="center"/>
          </w:tcPr>
          <w:p w:rsidR="005450DF" w:rsidRDefault="005450DF">
            <w:pPr>
              <w:jc w:val="center"/>
              <w:rPr>
                <w:rFonts w:ascii="宋体" w:eastAsia="宋体" w:hAnsi="宋体" w:cs="宋体"/>
                <w:color w:val="000000"/>
                <w:sz w:val="20"/>
                <w:szCs w:val="20"/>
              </w:rPr>
            </w:pPr>
          </w:p>
        </w:tc>
        <w:tc>
          <w:tcPr>
            <w:tcW w:w="1142" w:type="dxa"/>
            <w:shd w:val="clear" w:color="auto" w:fill="auto"/>
            <w:vAlign w:val="center"/>
          </w:tcPr>
          <w:p w:rsidR="005450DF" w:rsidRDefault="005450DF">
            <w:pPr>
              <w:jc w:val="right"/>
              <w:rPr>
                <w:rFonts w:ascii="宋体" w:eastAsia="宋体" w:hAnsi="宋体" w:cs="宋体"/>
                <w:color w:val="000000"/>
                <w:sz w:val="20"/>
                <w:szCs w:val="20"/>
              </w:rPr>
            </w:pPr>
          </w:p>
        </w:tc>
        <w:tc>
          <w:tcPr>
            <w:tcW w:w="1185" w:type="dxa"/>
            <w:shd w:val="clear" w:color="auto" w:fill="auto"/>
            <w:vAlign w:val="center"/>
          </w:tcPr>
          <w:p w:rsidR="005450DF" w:rsidRDefault="005450DF">
            <w:pPr>
              <w:jc w:val="right"/>
              <w:rPr>
                <w:rFonts w:ascii="宋体" w:eastAsia="宋体" w:hAnsi="宋体" w:cs="宋体"/>
                <w:color w:val="000000"/>
                <w:sz w:val="20"/>
                <w:szCs w:val="20"/>
              </w:rPr>
            </w:pPr>
          </w:p>
        </w:tc>
        <w:tc>
          <w:tcPr>
            <w:tcW w:w="1342" w:type="dxa"/>
            <w:shd w:val="clear" w:color="auto" w:fill="auto"/>
            <w:vAlign w:val="center"/>
          </w:tcPr>
          <w:p w:rsidR="005450DF" w:rsidRDefault="005450DF">
            <w:pPr>
              <w:rPr>
                <w:rFonts w:ascii="宋体" w:eastAsia="宋体" w:hAnsi="宋体" w:cs="宋体"/>
                <w:color w:val="000000"/>
                <w:sz w:val="20"/>
                <w:szCs w:val="20"/>
              </w:rPr>
            </w:pPr>
          </w:p>
        </w:tc>
        <w:tc>
          <w:tcPr>
            <w:tcW w:w="828" w:type="dxa"/>
            <w:shd w:val="clear" w:color="auto" w:fill="auto"/>
            <w:vAlign w:val="center"/>
          </w:tcPr>
          <w:p w:rsidR="005450DF" w:rsidRDefault="005450DF">
            <w:pPr>
              <w:rPr>
                <w:rFonts w:ascii="宋体" w:eastAsia="宋体" w:hAnsi="宋体" w:cs="宋体"/>
                <w:color w:val="000000"/>
                <w:sz w:val="20"/>
                <w:szCs w:val="20"/>
              </w:rPr>
            </w:pPr>
          </w:p>
        </w:tc>
        <w:tc>
          <w:tcPr>
            <w:tcW w:w="1071" w:type="dxa"/>
            <w:shd w:val="clear" w:color="auto" w:fill="auto"/>
            <w:vAlign w:val="center"/>
          </w:tcPr>
          <w:p w:rsidR="005450DF" w:rsidRDefault="005450DF">
            <w:pPr>
              <w:rPr>
                <w:rFonts w:ascii="宋体" w:eastAsia="宋体" w:hAnsi="宋体" w:cs="宋体"/>
                <w:color w:val="000000"/>
                <w:sz w:val="20"/>
                <w:szCs w:val="20"/>
              </w:rPr>
            </w:pPr>
          </w:p>
        </w:tc>
        <w:tc>
          <w:tcPr>
            <w:tcW w:w="1085" w:type="dxa"/>
            <w:shd w:val="clear" w:color="auto" w:fill="auto"/>
            <w:vAlign w:val="center"/>
          </w:tcPr>
          <w:p w:rsidR="005450DF" w:rsidRDefault="005450DF">
            <w:pPr>
              <w:rPr>
                <w:rFonts w:ascii="宋体" w:eastAsia="宋体" w:hAnsi="宋体" w:cs="宋体"/>
                <w:color w:val="000000"/>
                <w:sz w:val="20"/>
                <w:szCs w:val="20"/>
              </w:rPr>
            </w:pPr>
          </w:p>
        </w:tc>
        <w:tc>
          <w:tcPr>
            <w:tcW w:w="943" w:type="dxa"/>
            <w:shd w:val="clear" w:color="auto" w:fill="auto"/>
            <w:vAlign w:val="center"/>
          </w:tcPr>
          <w:p w:rsidR="005450DF" w:rsidRDefault="005450DF">
            <w:pPr>
              <w:rPr>
                <w:rFonts w:ascii="宋体" w:eastAsia="宋体" w:hAnsi="宋体" w:cs="宋体"/>
                <w:color w:val="000000"/>
                <w:sz w:val="20"/>
                <w:szCs w:val="20"/>
              </w:rPr>
            </w:pPr>
          </w:p>
        </w:tc>
        <w:tc>
          <w:tcPr>
            <w:tcW w:w="756" w:type="dxa"/>
            <w:shd w:val="clear" w:color="auto" w:fill="auto"/>
            <w:vAlign w:val="center"/>
          </w:tcPr>
          <w:p w:rsidR="005450DF" w:rsidRDefault="005450DF">
            <w:pPr>
              <w:rPr>
                <w:rFonts w:ascii="宋体" w:eastAsia="宋体" w:hAnsi="宋体" w:cs="宋体"/>
                <w:color w:val="000000"/>
                <w:sz w:val="20"/>
                <w:szCs w:val="20"/>
              </w:rPr>
            </w:pPr>
          </w:p>
        </w:tc>
        <w:tc>
          <w:tcPr>
            <w:tcW w:w="928" w:type="dxa"/>
            <w:shd w:val="clear" w:color="auto" w:fill="auto"/>
            <w:vAlign w:val="center"/>
          </w:tcPr>
          <w:p w:rsidR="005450DF" w:rsidRDefault="005450DF">
            <w:pPr>
              <w:rPr>
                <w:rFonts w:ascii="宋体" w:eastAsia="宋体" w:hAnsi="宋体" w:cs="宋体"/>
                <w:color w:val="000000"/>
                <w:sz w:val="20"/>
                <w:szCs w:val="20"/>
              </w:rPr>
            </w:pPr>
          </w:p>
        </w:tc>
        <w:tc>
          <w:tcPr>
            <w:tcW w:w="943" w:type="dxa"/>
            <w:shd w:val="clear" w:color="auto" w:fill="auto"/>
            <w:vAlign w:val="center"/>
          </w:tcPr>
          <w:p w:rsidR="005450DF" w:rsidRDefault="005450DF">
            <w:pPr>
              <w:jc w:val="right"/>
              <w:rPr>
                <w:rFonts w:ascii="宋体" w:eastAsia="宋体" w:hAnsi="宋体" w:cs="宋体"/>
                <w:color w:val="000000"/>
                <w:sz w:val="20"/>
                <w:szCs w:val="20"/>
              </w:rPr>
            </w:pPr>
          </w:p>
        </w:tc>
        <w:tc>
          <w:tcPr>
            <w:tcW w:w="1142" w:type="dxa"/>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510"/>
        </w:trPr>
        <w:tc>
          <w:tcPr>
            <w:tcW w:w="15734" w:type="dxa"/>
            <w:gridSpan w:val="15"/>
            <w:shd w:val="clear" w:color="auto" w:fill="auto"/>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部门收入预算总表</w:t>
            </w:r>
          </w:p>
        </w:tc>
      </w:tr>
      <w:tr w:rsidR="005450DF">
        <w:trPr>
          <w:trHeight w:val="525"/>
        </w:trPr>
        <w:tc>
          <w:tcPr>
            <w:tcW w:w="43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总计</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上年结转</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政府性基金预算拨款</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用事业基金弥补收支差额</w:t>
            </w:r>
          </w:p>
        </w:tc>
      </w:tr>
      <w:tr w:rsidR="005450DF">
        <w:trPr>
          <w:trHeight w:val="285"/>
        </w:trPr>
        <w:tc>
          <w:tcPr>
            <w:tcW w:w="4369"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其中：教育收费收入</w:t>
            </w: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465"/>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类</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款</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345"/>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合计</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116,666.65</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10,598.39</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69,999.02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24,356.84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21,750.00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1,100.00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2,601.09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8,011.31</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一般公共服务支出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146.50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55.00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91.50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10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人力资源事务</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146.50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55.00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91.50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10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08</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引进人才费用</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146.50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91.50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教育支出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99,635.61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9,186.46</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63,655.87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15,180.84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12,574.00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1,100.00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2,601.09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7,911.35</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普通教育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97,889.67</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9,023.02</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63,173.37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15,180.84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12,574.00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2,601.09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7,911.35</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初中教育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04</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高中教育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2,631.96</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1,317.96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05</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高等教育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88,765.79</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8,576.29</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56,118.15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13,560.00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10,960.00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2,600.00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7,911.35</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其他普通教育支出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6,206.92</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446.73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5,452.26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306.84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留学教育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320.00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320.00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来华留学教育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311.60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311.60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06</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其他留学教育支出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08</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进修及培训</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156.94</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29.44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127.50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08</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培训支出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156.94</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29.44</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127.50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99</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其他教育支出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1,269.00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134.00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1,100.00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99</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其他教育支出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1,269.00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134.00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1,100.00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科学技术支出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1,200.33</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1,200.33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基础研究</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自然科学基金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04</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技术研究与开发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1,140.33</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1,140.33</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04</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应用技术研究与开发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04</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产业技术研究与开发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182.02</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182.02</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04</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04</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科技成果转化与扩散</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04</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其他技术研究与开发支出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648.31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648.31</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文化旅游体育与传媒支出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81.60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66.60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文化和旅游</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11</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文化创作与保护</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99</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其他文化体育与传媒支出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66.60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66.60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99</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其他文化体育与传媒支出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66.60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66.60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208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社会保障和就业支出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9,929.49</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1,323.53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8,506.00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8,506.00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99.96</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行政事业单位离退休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9,929.49</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1,323.53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8,506.00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8,506.00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99.96</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事业单位离退休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1,299.43</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1,186.47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99.96</w:t>
            </w: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　　</w:t>
            </w:r>
            <w:r>
              <w:rPr>
                <w:rFonts w:ascii="宋体" w:eastAsia="宋体" w:hAnsi="宋体" w:cs="宋体" w:hint="eastAsia"/>
                <w:color w:val="000000"/>
                <w:kern w:val="0"/>
                <w:sz w:val="18"/>
                <w:szCs w:val="18"/>
                <w:lang w:bidi="ar"/>
              </w:rPr>
              <w:t>208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05</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机关事业单位基本养老保险缴费支出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6,160.90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6,063.00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6,063.00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208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06</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机关事业单位职业年金缴费支出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2,469.16</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39.16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2,430.00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2,430.00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卫生健康支出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3,033.12</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2,513.12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520.00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520.00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行政事业单位医疗</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3,033.12</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2,513.12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520.00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520.00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02</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事业单位医疗</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1,833.12</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1,513.12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03</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公务员医疗补助</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215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资源勘探信息等支出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工业和信息产业监管</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90.00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215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05</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99</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其他工业和信息产业监管支出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住房保障支出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2,550.00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2,400.00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w:t>
            </w:r>
            <w:r>
              <w:rPr>
                <w:rFonts w:ascii="宋体" w:eastAsia="宋体" w:hAnsi="宋体" w:cs="宋体" w:hint="eastAsia"/>
                <w:b/>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b/>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住房改革支出</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2,550.00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2,400.00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150.00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r>
      <w:tr w:rsidR="005450DF">
        <w:trPr>
          <w:trHeight w:val="510"/>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221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02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18"/>
                <w:szCs w:val="18"/>
              </w:rPr>
            </w:pPr>
            <w:r>
              <w:rPr>
                <w:rFonts w:ascii="Calibri" w:eastAsia="宋体" w:hAnsi="Calibri" w:cs="Calibri"/>
                <w:color w:val="000000"/>
                <w:kern w:val="0"/>
                <w:sz w:val="18"/>
                <w:szCs w:val="18"/>
                <w:lang w:bidi="ar"/>
              </w:rPr>
              <w:t>01</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住房公积金</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2,550.00</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2,400.00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1275"/>
        <w:gridCol w:w="1018"/>
        <w:gridCol w:w="1273"/>
        <w:gridCol w:w="2786"/>
        <w:gridCol w:w="1559"/>
        <w:gridCol w:w="1591"/>
        <w:gridCol w:w="1627"/>
        <w:gridCol w:w="1349"/>
        <w:gridCol w:w="810"/>
        <w:gridCol w:w="1307"/>
        <w:gridCol w:w="1139"/>
      </w:tblGrid>
      <w:tr w:rsidR="005450DF">
        <w:trPr>
          <w:trHeight w:val="360"/>
        </w:trPr>
        <w:tc>
          <w:tcPr>
            <w:tcW w:w="1275" w:type="dxa"/>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6</w:t>
            </w:r>
          </w:p>
        </w:tc>
        <w:tc>
          <w:tcPr>
            <w:tcW w:w="1018" w:type="dxa"/>
            <w:shd w:val="clear" w:color="auto" w:fill="auto"/>
            <w:vAlign w:val="center"/>
          </w:tcPr>
          <w:p w:rsidR="005450DF" w:rsidRDefault="005450DF">
            <w:pPr>
              <w:jc w:val="right"/>
              <w:rPr>
                <w:rFonts w:ascii="宋体" w:eastAsia="宋体" w:hAnsi="宋体" w:cs="宋体"/>
                <w:color w:val="000000"/>
                <w:sz w:val="20"/>
                <w:szCs w:val="20"/>
              </w:rPr>
            </w:pPr>
          </w:p>
        </w:tc>
        <w:tc>
          <w:tcPr>
            <w:tcW w:w="1273" w:type="dxa"/>
            <w:shd w:val="clear" w:color="auto" w:fill="auto"/>
            <w:vAlign w:val="center"/>
          </w:tcPr>
          <w:p w:rsidR="005450DF" w:rsidRDefault="005450DF">
            <w:pPr>
              <w:jc w:val="right"/>
              <w:rPr>
                <w:rFonts w:ascii="宋体" w:eastAsia="宋体" w:hAnsi="宋体" w:cs="宋体"/>
                <w:color w:val="000000"/>
                <w:sz w:val="20"/>
                <w:szCs w:val="20"/>
              </w:rPr>
            </w:pPr>
          </w:p>
        </w:tc>
        <w:tc>
          <w:tcPr>
            <w:tcW w:w="2786" w:type="dxa"/>
            <w:shd w:val="clear" w:color="auto" w:fill="auto"/>
            <w:vAlign w:val="center"/>
          </w:tcPr>
          <w:p w:rsidR="005450DF" w:rsidRDefault="005450DF">
            <w:pPr>
              <w:jc w:val="right"/>
              <w:rPr>
                <w:rFonts w:ascii="宋体" w:eastAsia="宋体" w:hAnsi="宋体" w:cs="宋体"/>
                <w:color w:val="000000"/>
                <w:sz w:val="20"/>
                <w:szCs w:val="20"/>
              </w:rPr>
            </w:pPr>
          </w:p>
        </w:tc>
        <w:tc>
          <w:tcPr>
            <w:tcW w:w="1559" w:type="dxa"/>
            <w:shd w:val="clear" w:color="auto" w:fill="auto"/>
            <w:vAlign w:val="center"/>
          </w:tcPr>
          <w:p w:rsidR="005450DF" w:rsidRDefault="005450DF">
            <w:pPr>
              <w:jc w:val="right"/>
              <w:rPr>
                <w:rFonts w:ascii="宋体" w:eastAsia="宋体" w:hAnsi="宋体" w:cs="宋体"/>
                <w:color w:val="000000"/>
                <w:sz w:val="20"/>
                <w:szCs w:val="20"/>
              </w:rPr>
            </w:pPr>
          </w:p>
        </w:tc>
        <w:tc>
          <w:tcPr>
            <w:tcW w:w="1591" w:type="dxa"/>
            <w:shd w:val="clear" w:color="auto" w:fill="auto"/>
            <w:vAlign w:val="center"/>
          </w:tcPr>
          <w:p w:rsidR="005450DF" w:rsidRDefault="005450DF">
            <w:pPr>
              <w:jc w:val="right"/>
              <w:rPr>
                <w:rFonts w:ascii="宋体" w:eastAsia="宋体" w:hAnsi="宋体" w:cs="宋体"/>
                <w:color w:val="000000"/>
                <w:sz w:val="20"/>
                <w:szCs w:val="20"/>
              </w:rPr>
            </w:pPr>
          </w:p>
        </w:tc>
        <w:tc>
          <w:tcPr>
            <w:tcW w:w="1627" w:type="dxa"/>
            <w:shd w:val="clear" w:color="auto" w:fill="auto"/>
            <w:vAlign w:val="center"/>
          </w:tcPr>
          <w:p w:rsidR="005450DF" w:rsidRDefault="005450DF">
            <w:pPr>
              <w:jc w:val="right"/>
              <w:rPr>
                <w:rFonts w:ascii="宋体" w:eastAsia="宋体" w:hAnsi="宋体" w:cs="宋体"/>
                <w:color w:val="000000"/>
                <w:sz w:val="20"/>
                <w:szCs w:val="20"/>
              </w:rPr>
            </w:pPr>
          </w:p>
        </w:tc>
        <w:tc>
          <w:tcPr>
            <w:tcW w:w="1349" w:type="dxa"/>
            <w:shd w:val="clear" w:color="auto" w:fill="auto"/>
            <w:vAlign w:val="center"/>
          </w:tcPr>
          <w:p w:rsidR="005450DF" w:rsidRDefault="005450DF">
            <w:pPr>
              <w:jc w:val="right"/>
              <w:rPr>
                <w:rFonts w:ascii="宋体" w:eastAsia="宋体" w:hAnsi="宋体" w:cs="宋体"/>
                <w:color w:val="000000"/>
                <w:sz w:val="20"/>
                <w:szCs w:val="20"/>
              </w:rPr>
            </w:pPr>
          </w:p>
        </w:tc>
        <w:tc>
          <w:tcPr>
            <w:tcW w:w="810" w:type="dxa"/>
            <w:shd w:val="clear" w:color="auto" w:fill="auto"/>
            <w:vAlign w:val="center"/>
          </w:tcPr>
          <w:p w:rsidR="005450DF" w:rsidRDefault="005450DF">
            <w:pPr>
              <w:jc w:val="right"/>
              <w:rPr>
                <w:rFonts w:ascii="宋体" w:eastAsia="宋体" w:hAnsi="宋体" w:cs="宋体"/>
                <w:color w:val="000000"/>
                <w:sz w:val="20"/>
                <w:szCs w:val="20"/>
              </w:rPr>
            </w:pPr>
          </w:p>
        </w:tc>
        <w:tc>
          <w:tcPr>
            <w:tcW w:w="1307" w:type="dxa"/>
            <w:shd w:val="clear" w:color="auto" w:fill="auto"/>
            <w:vAlign w:val="center"/>
          </w:tcPr>
          <w:p w:rsidR="005450DF" w:rsidRDefault="005450DF">
            <w:pPr>
              <w:jc w:val="right"/>
              <w:rPr>
                <w:rFonts w:ascii="宋体" w:eastAsia="宋体" w:hAnsi="宋体" w:cs="宋体"/>
                <w:color w:val="000000"/>
                <w:sz w:val="20"/>
                <w:szCs w:val="20"/>
              </w:rPr>
            </w:pPr>
          </w:p>
        </w:tc>
        <w:tc>
          <w:tcPr>
            <w:tcW w:w="1139" w:type="dxa"/>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615"/>
        </w:trPr>
        <w:tc>
          <w:tcPr>
            <w:tcW w:w="14595" w:type="dxa"/>
            <w:gridSpan w:val="10"/>
            <w:shd w:val="clear" w:color="auto" w:fill="auto"/>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部门支出预算总表</w:t>
            </w:r>
          </w:p>
        </w:tc>
        <w:tc>
          <w:tcPr>
            <w:tcW w:w="1139" w:type="dxa"/>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90"/>
        </w:trPr>
        <w:tc>
          <w:tcPr>
            <w:tcW w:w="1275" w:type="dxa"/>
            <w:shd w:val="clear" w:color="auto" w:fill="auto"/>
            <w:vAlign w:val="bottom"/>
          </w:tcPr>
          <w:p w:rsidR="005450DF" w:rsidRDefault="005450DF">
            <w:pPr>
              <w:rPr>
                <w:rFonts w:ascii="宋体" w:eastAsia="宋体" w:hAnsi="宋体" w:cs="宋体"/>
                <w:color w:val="000000"/>
                <w:sz w:val="22"/>
              </w:rPr>
            </w:pPr>
          </w:p>
        </w:tc>
        <w:tc>
          <w:tcPr>
            <w:tcW w:w="1018" w:type="dxa"/>
            <w:shd w:val="clear" w:color="auto" w:fill="auto"/>
            <w:vAlign w:val="center"/>
          </w:tcPr>
          <w:p w:rsidR="005450DF" w:rsidRDefault="005450DF">
            <w:pPr>
              <w:rPr>
                <w:rFonts w:ascii="宋体" w:eastAsia="宋体" w:hAnsi="宋体" w:cs="宋体"/>
                <w:color w:val="000000"/>
                <w:sz w:val="22"/>
              </w:rPr>
            </w:pPr>
          </w:p>
        </w:tc>
        <w:tc>
          <w:tcPr>
            <w:tcW w:w="1273" w:type="dxa"/>
            <w:shd w:val="clear" w:color="auto" w:fill="auto"/>
            <w:vAlign w:val="center"/>
          </w:tcPr>
          <w:p w:rsidR="005450DF" w:rsidRDefault="005450DF">
            <w:pPr>
              <w:rPr>
                <w:rFonts w:ascii="宋体" w:eastAsia="宋体" w:hAnsi="宋体" w:cs="宋体"/>
                <w:color w:val="000000"/>
                <w:sz w:val="22"/>
              </w:rPr>
            </w:pPr>
          </w:p>
        </w:tc>
        <w:tc>
          <w:tcPr>
            <w:tcW w:w="2786" w:type="dxa"/>
            <w:shd w:val="clear" w:color="auto" w:fill="auto"/>
            <w:vAlign w:val="center"/>
          </w:tcPr>
          <w:p w:rsidR="005450DF" w:rsidRDefault="005450DF">
            <w:pPr>
              <w:rPr>
                <w:rFonts w:ascii="宋体" w:eastAsia="宋体" w:hAnsi="宋体" w:cs="宋体"/>
                <w:color w:val="000000"/>
                <w:sz w:val="22"/>
              </w:rPr>
            </w:pPr>
          </w:p>
        </w:tc>
        <w:tc>
          <w:tcPr>
            <w:tcW w:w="1559" w:type="dxa"/>
            <w:shd w:val="clear" w:color="auto" w:fill="auto"/>
            <w:vAlign w:val="center"/>
          </w:tcPr>
          <w:p w:rsidR="005450DF" w:rsidRDefault="005450DF">
            <w:pPr>
              <w:rPr>
                <w:rFonts w:ascii="宋体" w:eastAsia="宋体" w:hAnsi="宋体" w:cs="宋体"/>
                <w:color w:val="000000"/>
                <w:sz w:val="22"/>
              </w:rPr>
            </w:pPr>
          </w:p>
        </w:tc>
        <w:tc>
          <w:tcPr>
            <w:tcW w:w="1591" w:type="dxa"/>
            <w:shd w:val="clear" w:color="auto" w:fill="auto"/>
            <w:vAlign w:val="center"/>
          </w:tcPr>
          <w:p w:rsidR="005450DF" w:rsidRDefault="005450DF">
            <w:pPr>
              <w:rPr>
                <w:rFonts w:ascii="宋体" w:eastAsia="宋体" w:hAnsi="宋体" w:cs="宋体"/>
                <w:color w:val="000000"/>
                <w:sz w:val="22"/>
              </w:rPr>
            </w:pPr>
          </w:p>
        </w:tc>
        <w:tc>
          <w:tcPr>
            <w:tcW w:w="1627" w:type="dxa"/>
            <w:shd w:val="clear" w:color="auto" w:fill="auto"/>
            <w:vAlign w:val="center"/>
          </w:tcPr>
          <w:p w:rsidR="005450DF" w:rsidRDefault="005450DF">
            <w:pPr>
              <w:rPr>
                <w:rFonts w:ascii="宋体" w:eastAsia="宋体" w:hAnsi="宋体" w:cs="宋体"/>
                <w:color w:val="000000"/>
                <w:sz w:val="22"/>
              </w:rPr>
            </w:pPr>
          </w:p>
        </w:tc>
        <w:tc>
          <w:tcPr>
            <w:tcW w:w="1349" w:type="dxa"/>
            <w:shd w:val="clear" w:color="auto" w:fill="auto"/>
            <w:vAlign w:val="center"/>
          </w:tcPr>
          <w:p w:rsidR="005450DF" w:rsidRDefault="005450DF">
            <w:pPr>
              <w:rPr>
                <w:rFonts w:ascii="宋体" w:eastAsia="宋体" w:hAnsi="宋体" w:cs="宋体"/>
                <w:color w:val="000000"/>
                <w:sz w:val="22"/>
              </w:rPr>
            </w:pPr>
          </w:p>
        </w:tc>
        <w:tc>
          <w:tcPr>
            <w:tcW w:w="810" w:type="dxa"/>
            <w:shd w:val="clear" w:color="auto" w:fill="auto"/>
            <w:vAlign w:val="center"/>
          </w:tcPr>
          <w:p w:rsidR="005450DF" w:rsidRDefault="005450DF">
            <w:pPr>
              <w:rPr>
                <w:rFonts w:ascii="宋体" w:eastAsia="宋体" w:hAnsi="宋体" w:cs="宋体"/>
                <w:color w:val="000000"/>
                <w:sz w:val="22"/>
              </w:rPr>
            </w:pPr>
          </w:p>
        </w:tc>
        <w:tc>
          <w:tcPr>
            <w:tcW w:w="1307" w:type="dxa"/>
            <w:shd w:val="clear" w:color="auto" w:fill="auto"/>
            <w:vAlign w:val="center"/>
          </w:tcPr>
          <w:p w:rsidR="005450DF" w:rsidRDefault="005450DF">
            <w:pPr>
              <w:jc w:val="right"/>
              <w:rPr>
                <w:rFonts w:ascii="宋体" w:eastAsia="宋体" w:hAnsi="宋体" w:cs="宋体"/>
                <w:color w:val="000000"/>
                <w:sz w:val="22"/>
              </w:rPr>
            </w:pPr>
          </w:p>
        </w:tc>
        <w:tc>
          <w:tcPr>
            <w:tcW w:w="1139" w:type="dxa"/>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5450DF">
        <w:trPr>
          <w:trHeight w:val="360"/>
        </w:trPr>
        <w:tc>
          <w:tcPr>
            <w:tcW w:w="35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2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事业单位经营支出</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其他费用</w:t>
            </w:r>
          </w:p>
        </w:tc>
      </w:tr>
      <w:tr w:rsidR="005450DF">
        <w:trPr>
          <w:trHeight w:val="540"/>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类</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款</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w:t>
            </w:r>
          </w:p>
        </w:tc>
        <w:tc>
          <w:tcPr>
            <w:tcW w:w="2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360"/>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116,666.65</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80,992.76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34,573.89</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一般公共服务支出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人力资源事务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146.50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引进人才费用</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146.50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99,635.61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65,480.15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33,055.46</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普通教育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97,889.67</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65,480.15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32,409.52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初中教育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285.00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285.00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高中教育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2,631.96</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1,317.96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1,314.00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高等教育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88,765.79</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62,124.00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26,641.79</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其他普通教育支出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6,206.92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2,038.19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4,168.73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留学教育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320.00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来华留学教育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311.60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311.60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06</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其他留学教育支出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进修及培训</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156.94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156.94</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156.94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156.94</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99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其他教育支出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1,269.00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169.00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99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1,269.00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169.00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科学技术支出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1,200.33</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1,200.33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基础研究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自然科学基金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技术研究与开发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1,140.33</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1,140.33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应用技术研究与开发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产业技术研究与开发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182.02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182.02</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科技成果转化与扩散</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其他技术研究与开发支出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648.31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648.31</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文化旅游体育与传媒支出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81.60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81.60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文化和旅游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15.00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文化创作与保护</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99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其他文化体育与传媒支出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66.60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66.60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99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其他文化体育与传媒支出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208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社会保障和就业支出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9,929.49</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9,929.49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行政事业单位离退休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9,929.49</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9,929.49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事业单位离退休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1,299.43</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1,299.43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6,160.90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6,160.90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208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机关事业单位职业年金缴费支出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2,469.16</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2,469.16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210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卫生健康支出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3,033.12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3,033.12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11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行政事业单位医疗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3,033.12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3,033.12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事业单位医疗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1,833.12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1,833.12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11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215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资源勘探信息等支出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工业和信息产业监管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90.00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215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其他工业和信息产业监管支出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221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住房保障支出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2,550.00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2,550.00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w:t>
            </w:r>
            <w:r>
              <w:rPr>
                <w:rFonts w:ascii="宋体" w:eastAsia="宋体" w:hAnsi="宋体" w:cs="宋体" w:hint="eastAsia"/>
                <w:b/>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宋体" w:eastAsia="宋体" w:hAnsi="宋体" w:cs="宋体"/>
                <w:b/>
                <w:color w:val="00000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住房改革支出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2,550.00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2,550.00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b/>
                <w:color w:val="000000"/>
                <w:sz w:val="20"/>
                <w:szCs w:val="20"/>
              </w:rPr>
            </w:pPr>
          </w:p>
        </w:tc>
      </w:tr>
      <w:tr w:rsidR="005450DF">
        <w:trPr>
          <w:trHeight w:val="55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221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2,550.00</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2,550.00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0"/>
                <w:szCs w:val="20"/>
              </w:rPr>
            </w:pP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1376"/>
        <w:gridCol w:w="1020"/>
        <w:gridCol w:w="1376"/>
        <w:gridCol w:w="5814"/>
        <w:gridCol w:w="1948"/>
        <w:gridCol w:w="2087"/>
        <w:gridCol w:w="2113"/>
      </w:tblGrid>
      <w:tr w:rsidR="005450DF">
        <w:trPr>
          <w:trHeight w:val="285"/>
        </w:trPr>
        <w:tc>
          <w:tcPr>
            <w:tcW w:w="1376" w:type="dxa"/>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7</w:t>
            </w:r>
          </w:p>
        </w:tc>
        <w:tc>
          <w:tcPr>
            <w:tcW w:w="1020" w:type="dxa"/>
            <w:shd w:val="clear" w:color="auto" w:fill="auto"/>
            <w:vAlign w:val="center"/>
          </w:tcPr>
          <w:p w:rsidR="005450DF" w:rsidRDefault="005450DF">
            <w:pPr>
              <w:jc w:val="right"/>
              <w:rPr>
                <w:rFonts w:ascii="宋体" w:eastAsia="宋体" w:hAnsi="宋体" w:cs="宋体"/>
                <w:color w:val="000000"/>
                <w:sz w:val="20"/>
                <w:szCs w:val="20"/>
              </w:rPr>
            </w:pPr>
          </w:p>
        </w:tc>
        <w:tc>
          <w:tcPr>
            <w:tcW w:w="1376" w:type="dxa"/>
            <w:shd w:val="clear" w:color="auto" w:fill="auto"/>
            <w:vAlign w:val="center"/>
          </w:tcPr>
          <w:p w:rsidR="005450DF" w:rsidRDefault="005450DF">
            <w:pPr>
              <w:jc w:val="right"/>
              <w:rPr>
                <w:rFonts w:ascii="宋体" w:eastAsia="宋体" w:hAnsi="宋体" w:cs="宋体"/>
                <w:color w:val="000000"/>
                <w:sz w:val="20"/>
                <w:szCs w:val="20"/>
              </w:rPr>
            </w:pPr>
          </w:p>
        </w:tc>
        <w:tc>
          <w:tcPr>
            <w:tcW w:w="5814" w:type="dxa"/>
            <w:shd w:val="clear" w:color="auto" w:fill="auto"/>
            <w:vAlign w:val="center"/>
          </w:tcPr>
          <w:p w:rsidR="005450DF" w:rsidRDefault="005450DF">
            <w:pPr>
              <w:jc w:val="left"/>
              <w:rPr>
                <w:rFonts w:ascii="宋体" w:eastAsia="宋体" w:hAnsi="宋体" w:cs="宋体"/>
                <w:color w:val="000000"/>
                <w:sz w:val="20"/>
                <w:szCs w:val="20"/>
              </w:rPr>
            </w:pPr>
          </w:p>
        </w:tc>
        <w:tc>
          <w:tcPr>
            <w:tcW w:w="1948" w:type="dxa"/>
            <w:shd w:val="clear" w:color="auto" w:fill="auto"/>
            <w:vAlign w:val="center"/>
          </w:tcPr>
          <w:p w:rsidR="005450DF" w:rsidRDefault="005450DF">
            <w:pPr>
              <w:jc w:val="right"/>
              <w:rPr>
                <w:rFonts w:ascii="宋体" w:eastAsia="宋体" w:hAnsi="宋体" w:cs="宋体"/>
                <w:color w:val="000000"/>
                <w:sz w:val="20"/>
                <w:szCs w:val="20"/>
              </w:rPr>
            </w:pPr>
          </w:p>
        </w:tc>
        <w:tc>
          <w:tcPr>
            <w:tcW w:w="2087" w:type="dxa"/>
            <w:shd w:val="clear" w:color="auto" w:fill="auto"/>
            <w:vAlign w:val="center"/>
          </w:tcPr>
          <w:p w:rsidR="005450DF" w:rsidRDefault="005450DF">
            <w:pPr>
              <w:jc w:val="center"/>
              <w:rPr>
                <w:rFonts w:ascii="宋体" w:eastAsia="宋体" w:hAnsi="宋体" w:cs="宋体"/>
                <w:color w:val="000000"/>
                <w:sz w:val="20"/>
                <w:szCs w:val="20"/>
              </w:rPr>
            </w:pPr>
          </w:p>
        </w:tc>
        <w:tc>
          <w:tcPr>
            <w:tcW w:w="2113" w:type="dxa"/>
            <w:shd w:val="clear" w:color="auto" w:fill="auto"/>
            <w:vAlign w:val="center"/>
          </w:tcPr>
          <w:p w:rsidR="005450DF" w:rsidRDefault="005450DF">
            <w:pPr>
              <w:jc w:val="right"/>
              <w:rPr>
                <w:rFonts w:ascii="宋体" w:eastAsia="宋体" w:hAnsi="宋体" w:cs="宋体"/>
                <w:color w:val="000000"/>
                <w:sz w:val="20"/>
                <w:szCs w:val="20"/>
              </w:rPr>
            </w:pPr>
          </w:p>
        </w:tc>
      </w:tr>
      <w:tr w:rsidR="005450DF">
        <w:trPr>
          <w:trHeight w:val="660"/>
        </w:trPr>
        <w:tc>
          <w:tcPr>
            <w:tcW w:w="15734" w:type="dxa"/>
            <w:gridSpan w:val="7"/>
            <w:shd w:val="clear" w:color="auto" w:fill="auto"/>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政府性基金预算财政拨款支出预算表</w:t>
            </w:r>
          </w:p>
        </w:tc>
      </w:tr>
      <w:tr w:rsidR="005450DF">
        <w:trPr>
          <w:trHeight w:val="360"/>
        </w:trPr>
        <w:tc>
          <w:tcPr>
            <w:tcW w:w="1376" w:type="dxa"/>
            <w:shd w:val="clear" w:color="auto" w:fill="auto"/>
            <w:vAlign w:val="bottom"/>
          </w:tcPr>
          <w:p w:rsidR="005450DF" w:rsidRDefault="005450DF">
            <w:pPr>
              <w:rPr>
                <w:rFonts w:ascii="宋体" w:eastAsia="宋体" w:hAnsi="宋体" w:cs="宋体"/>
                <w:color w:val="000000"/>
                <w:sz w:val="22"/>
              </w:rPr>
            </w:pPr>
          </w:p>
        </w:tc>
        <w:tc>
          <w:tcPr>
            <w:tcW w:w="1020" w:type="dxa"/>
            <w:shd w:val="clear" w:color="auto" w:fill="auto"/>
            <w:vAlign w:val="center"/>
          </w:tcPr>
          <w:p w:rsidR="005450DF" w:rsidRDefault="005450DF">
            <w:pPr>
              <w:rPr>
                <w:rFonts w:ascii="宋体" w:eastAsia="宋体" w:hAnsi="宋体" w:cs="宋体"/>
                <w:color w:val="000000"/>
                <w:sz w:val="22"/>
              </w:rPr>
            </w:pPr>
          </w:p>
        </w:tc>
        <w:tc>
          <w:tcPr>
            <w:tcW w:w="1376" w:type="dxa"/>
            <w:shd w:val="clear" w:color="auto" w:fill="auto"/>
            <w:vAlign w:val="center"/>
          </w:tcPr>
          <w:p w:rsidR="005450DF" w:rsidRDefault="005450DF">
            <w:pPr>
              <w:rPr>
                <w:rFonts w:ascii="宋体" w:eastAsia="宋体" w:hAnsi="宋体" w:cs="宋体"/>
                <w:color w:val="000000"/>
                <w:sz w:val="22"/>
              </w:rPr>
            </w:pPr>
          </w:p>
        </w:tc>
        <w:tc>
          <w:tcPr>
            <w:tcW w:w="5814" w:type="dxa"/>
            <w:shd w:val="clear" w:color="auto" w:fill="auto"/>
            <w:vAlign w:val="center"/>
          </w:tcPr>
          <w:p w:rsidR="005450DF" w:rsidRDefault="005450DF">
            <w:pPr>
              <w:jc w:val="left"/>
              <w:rPr>
                <w:rFonts w:ascii="宋体" w:eastAsia="宋体" w:hAnsi="宋体" w:cs="宋体"/>
                <w:color w:val="000000"/>
                <w:sz w:val="22"/>
              </w:rPr>
            </w:pPr>
          </w:p>
        </w:tc>
        <w:tc>
          <w:tcPr>
            <w:tcW w:w="1948" w:type="dxa"/>
            <w:shd w:val="clear" w:color="auto" w:fill="auto"/>
            <w:vAlign w:val="center"/>
          </w:tcPr>
          <w:p w:rsidR="005450DF" w:rsidRDefault="005450DF">
            <w:pPr>
              <w:rPr>
                <w:rFonts w:ascii="宋体" w:eastAsia="宋体" w:hAnsi="宋体" w:cs="宋体"/>
                <w:color w:val="000000"/>
                <w:sz w:val="22"/>
              </w:rPr>
            </w:pPr>
          </w:p>
        </w:tc>
        <w:tc>
          <w:tcPr>
            <w:tcW w:w="2087" w:type="dxa"/>
            <w:shd w:val="clear" w:color="auto" w:fill="auto"/>
            <w:vAlign w:val="center"/>
          </w:tcPr>
          <w:p w:rsidR="005450DF" w:rsidRDefault="005450DF">
            <w:pPr>
              <w:rPr>
                <w:rFonts w:ascii="宋体" w:eastAsia="宋体" w:hAnsi="宋体" w:cs="宋体"/>
                <w:color w:val="000000"/>
                <w:sz w:val="22"/>
              </w:rPr>
            </w:pPr>
          </w:p>
        </w:tc>
        <w:tc>
          <w:tcPr>
            <w:tcW w:w="2113" w:type="dxa"/>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5450DF">
        <w:trPr>
          <w:trHeight w:val="510"/>
        </w:trPr>
        <w:tc>
          <w:tcPr>
            <w:tcW w:w="37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5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总计</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本年政府性基金预算财政拨款支出表</w:t>
            </w:r>
          </w:p>
        </w:tc>
      </w:tr>
      <w:tr w:rsidR="005450DF">
        <w:trPr>
          <w:trHeight w:val="285"/>
        </w:trPr>
        <w:tc>
          <w:tcPr>
            <w:tcW w:w="377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5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5450DF">
        <w:trPr>
          <w:trHeight w:val="435"/>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类</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款</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w:t>
            </w:r>
          </w:p>
        </w:tc>
        <w:tc>
          <w:tcPr>
            <w:tcW w:w="5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420"/>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5450DF">
        <w:trPr>
          <w:trHeight w:val="570"/>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color w:val="000000"/>
                <w:sz w:val="18"/>
                <w:szCs w:val="1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color w:val="000000"/>
                <w:sz w:val="18"/>
                <w:szCs w:val="18"/>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color w:val="000000"/>
                <w:sz w:val="18"/>
                <w:szCs w:val="18"/>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left"/>
              <w:rPr>
                <w:rFonts w:ascii="Calibri" w:hAnsi="Calibri" w:cs="Calibri"/>
                <w:color w:val="000000"/>
                <w:sz w:val="18"/>
                <w:szCs w:val="18"/>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r>
    </w:tbl>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p w:rsidR="005450DF" w:rsidRDefault="005450DF">
      <w:pPr>
        <w:tabs>
          <w:tab w:val="left" w:pos="5745"/>
        </w:tabs>
        <w:rPr>
          <w:rFonts w:asciiTheme="minorEastAsia" w:hAnsiTheme="minorEastAsia"/>
          <w:szCs w:val="21"/>
        </w:rPr>
      </w:pPr>
    </w:p>
    <w:tbl>
      <w:tblPr>
        <w:tblW w:w="15734" w:type="dxa"/>
        <w:tblLayout w:type="fixed"/>
        <w:tblCellMar>
          <w:top w:w="15" w:type="dxa"/>
          <w:left w:w="15" w:type="dxa"/>
          <w:bottom w:w="15" w:type="dxa"/>
          <w:right w:w="15" w:type="dxa"/>
        </w:tblCellMar>
        <w:tblLook w:val="04A0" w:firstRow="1" w:lastRow="0" w:firstColumn="1" w:lastColumn="0" w:noHBand="0" w:noVBand="1"/>
      </w:tblPr>
      <w:tblGrid>
        <w:gridCol w:w="1886"/>
        <w:gridCol w:w="802"/>
        <w:gridCol w:w="854"/>
        <w:gridCol w:w="854"/>
        <w:gridCol w:w="725"/>
        <w:gridCol w:w="828"/>
        <w:gridCol w:w="724"/>
        <w:gridCol w:w="925"/>
        <w:gridCol w:w="796"/>
        <w:gridCol w:w="893"/>
        <w:gridCol w:w="834"/>
        <w:gridCol w:w="924"/>
        <w:gridCol w:w="944"/>
        <w:gridCol w:w="912"/>
        <w:gridCol w:w="1015"/>
        <w:gridCol w:w="1818"/>
      </w:tblGrid>
      <w:tr w:rsidR="005450DF">
        <w:trPr>
          <w:trHeight w:val="390"/>
        </w:trPr>
        <w:tc>
          <w:tcPr>
            <w:tcW w:w="1886" w:type="dxa"/>
            <w:shd w:val="clear" w:color="auto" w:fill="auto"/>
            <w:vAlign w:val="bottom"/>
          </w:tcPr>
          <w:p w:rsidR="005450DF" w:rsidRDefault="00660093">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表</w:t>
            </w:r>
            <w:r>
              <w:rPr>
                <w:rFonts w:ascii="宋体" w:eastAsia="宋体" w:hAnsi="宋体" w:cs="宋体" w:hint="eastAsia"/>
                <w:color w:val="000000"/>
                <w:kern w:val="0"/>
                <w:sz w:val="22"/>
                <w:lang w:bidi="ar"/>
              </w:rPr>
              <w:t>8</w:t>
            </w:r>
          </w:p>
        </w:tc>
        <w:tc>
          <w:tcPr>
            <w:tcW w:w="802" w:type="dxa"/>
            <w:shd w:val="clear" w:color="auto" w:fill="auto"/>
            <w:vAlign w:val="bottom"/>
          </w:tcPr>
          <w:p w:rsidR="005450DF" w:rsidRDefault="005450DF">
            <w:pPr>
              <w:rPr>
                <w:rFonts w:ascii="Arial" w:hAnsi="Arial" w:cs="Arial"/>
                <w:color w:val="000000"/>
                <w:sz w:val="20"/>
                <w:szCs w:val="20"/>
              </w:rPr>
            </w:pPr>
          </w:p>
        </w:tc>
        <w:tc>
          <w:tcPr>
            <w:tcW w:w="854" w:type="dxa"/>
            <w:shd w:val="clear" w:color="auto" w:fill="auto"/>
            <w:vAlign w:val="bottom"/>
          </w:tcPr>
          <w:p w:rsidR="005450DF" w:rsidRDefault="005450DF">
            <w:pPr>
              <w:rPr>
                <w:rFonts w:ascii="Arial" w:hAnsi="Arial" w:cs="Arial"/>
                <w:color w:val="000000"/>
                <w:sz w:val="20"/>
                <w:szCs w:val="20"/>
              </w:rPr>
            </w:pPr>
          </w:p>
        </w:tc>
        <w:tc>
          <w:tcPr>
            <w:tcW w:w="854" w:type="dxa"/>
            <w:shd w:val="clear" w:color="auto" w:fill="auto"/>
            <w:vAlign w:val="bottom"/>
          </w:tcPr>
          <w:p w:rsidR="005450DF" w:rsidRDefault="005450DF">
            <w:pPr>
              <w:rPr>
                <w:rFonts w:ascii="Arial" w:hAnsi="Arial" w:cs="Arial"/>
                <w:color w:val="000000"/>
                <w:sz w:val="20"/>
                <w:szCs w:val="20"/>
              </w:rPr>
            </w:pPr>
          </w:p>
        </w:tc>
        <w:tc>
          <w:tcPr>
            <w:tcW w:w="725" w:type="dxa"/>
            <w:shd w:val="clear" w:color="auto" w:fill="auto"/>
            <w:vAlign w:val="bottom"/>
          </w:tcPr>
          <w:p w:rsidR="005450DF" w:rsidRDefault="005450DF">
            <w:pPr>
              <w:rPr>
                <w:rFonts w:ascii="Arial" w:hAnsi="Arial" w:cs="Arial"/>
                <w:color w:val="000000"/>
                <w:sz w:val="20"/>
                <w:szCs w:val="20"/>
              </w:rPr>
            </w:pPr>
          </w:p>
        </w:tc>
        <w:tc>
          <w:tcPr>
            <w:tcW w:w="828" w:type="dxa"/>
            <w:shd w:val="clear" w:color="auto" w:fill="auto"/>
            <w:vAlign w:val="bottom"/>
          </w:tcPr>
          <w:p w:rsidR="005450DF" w:rsidRDefault="005450DF">
            <w:pPr>
              <w:rPr>
                <w:rFonts w:ascii="Arial" w:hAnsi="Arial" w:cs="Arial"/>
                <w:color w:val="000000"/>
                <w:sz w:val="20"/>
                <w:szCs w:val="20"/>
              </w:rPr>
            </w:pPr>
          </w:p>
        </w:tc>
        <w:tc>
          <w:tcPr>
            <w:tcW w:w="724" w:type="dxa"/>
            <w:shd w:val="clear" w:color="auto" w:fill="auto"/>
            <w:vAlign w:val="bottom"/>
          </w:tcPr>
          <w:p w:rsidR="005450DF" w:rsidRDefault="005450DF">
            <w:pPr>
              <w:rPr>
                <w:rFonts w:ascii="Arial" w:hAnsi="Arial" w:cs="Arial"/>
                <w:color w:val="000000"/>
                <w:sz w:val="20"/>
                <w:szCs w:val="20"/>
              </w:rPr>
            </w:pPr>
          </w:p>
        </w:tc>
        <w:tc>
          <w:tcPr>
            <w:tcW w:w="925" w:type="dxa"/>
            <w:shd w:val="clear" w:color="auto" w:fill="auto"/>
            <w:vAlign w:val="bottom"/>
          </w:tcPr>
          <w:p w:rsidR="005450DF" w:rsidRDefault="005450DF">
            <w:pPr>
              <w:rPr>
                <w:rFonts w:ascii="Arial" w:hAnsi="Arial" w:cs="Arial"/>
                <w:color w:val="000000"/>
                <w:sz w:val="20"/>
                <w:szCs w:val="20"/>
              </w:rPr>
            </w:pPr>
          </w:p>
        </w:tc>
        <w:tc>
          <w:tcPr>
            <w:tcW w:w="796" w:type="dxa"/>
            <w:shd w:val="clear" w:color="auto" w:fill="auto"/>
            <w:vAlign w:val="bottom"/>
          </w:tcPr>
          <w:p w:rsidR="005450DF" w:rsidRDefault="005450DF">
            <w:pPr>
              <w:rPr>
                <w:rFonts w:ascii="Arial" w:hAnsi="Arial" w:cs="Arial"/>
                <w:color w:val="000000"/>
                <w:sz w:val="20"/>
                <w:szCs w:val="20"/>
              </w:rPr>
            </w:pPr>
          </w:p>
        </w:tc>
        <w:tc>
          <w:tcPr>
            <w:tcW w:w="893" w:type="dxa"/>
            <w:shd w:val="clear" w:color="auto" w:fill="auto"/>
            <w:vAlign w:val="bottom"/>
          </w:tcPr>
          <w:p w:rsidR="005450DF" w:rsidRDefault="005450DF">
            <w:pPr>
              <w:rPr>
                <w:rFonts w:ascii="Arial" w:hAnsi="Arial" w:cs="Arial"/>
                <w:color w:val="000000"/>
                <w:sz w:val="20"/>
                <w:szCs w:val="20"/>
              </w:rPr>
            </w:pPr>
          </w:p>
        </w:tc>
        <w:tc>
          <w:tcPr>
            <w:tcW w:w="834" w:type="dxa"/>
            <w:shd w:val="clear" w:color="auto" w:fill="auto"/>
            <w:vAlign w:val="bottom"/>
          </w:tcPr>
          <w:p w:rsidR="005450DF" w:rsidRDefault="005450DF">
            <w:pPr>
              <w:rPr>
                <w:rFonts w:ascii="Arial" w:hAnsi="Arial" w:cs="Arial"/>
                <w:color w:val="000000"/>
                <w:sz w:val="20"/>
                <w:szCs w:val="20"/>
              </w:rPr>
            </w:pPr>
          </w:p>
        </w:tc>
        <w:tc>
          <w:tcPr>
            <w:tcW w:w="924" w:type="dxa"/>
            <w:shd w:val="clear" w:color="auto" w:fill="auto"/>
            <w:vAlign w:val="bottom"/>
          </w:tcPr>
          <w:p w:rsidR="005450DF" w:rsidRDefault="005450DF">
            <w:pPr>
              <w:rPr>
                <w:rFonts w:ascii="Arial" w:hAnsi="Arial" w:cs="Arial"/>
                <w:color w:val="000000"/>
                <w:sz w:val="20"/>
                <w:szCs w:val="20"/>
              </w:rPr>
            </w:pPr>
          </w:p>
        </w:tc>
        <w:tc>
          <w:tcPr>
            <w:tcW w:w="944" w:type="dxa"/>
            <w:shd w:val="clear" w:color="auto" w:fill="auto"/>
            <w:vAlign w:val="bottom"/>
          </w:tcPr>
          <w:p w:rsidR="005450DF" w:rsidRDefault="005450DF">
            <w:pPr>
              <w:rPr>
                <w:rFonts w:ascii="Arial" w:hAnsi="Arial" w:cs="Arial"/>
                <w:color w:val="000000"/>
                <w:sz w:val="20"/>
                <w:szCs w:val="20"/>
              </w:rPr>
            </w:pPr>
          </w:p>
        </w:tc>
        <w:tc>
          <w:tcPr>
            <w:tcW w:w="912" w:type="dxa"/>
            <w:shd w:val="clear" w:color="auto" w:fill="auto"/>
            <w:vAlign w:val="bottom"/>
          </w:tcPr>
          <w:p w:rsidR="005450DF" w:rsidRDefault="005450DF">
            <w:pPr>
              <w:rPr>
                <w:rFonts w:ascii="Arial" w:hAnsi="Arial" w:cs="Arial"/>
                <w:color w:val="000000"/>
                <w:sz w:val="20"/>
                <w:szCs w:val="20"/>
              </w:rPr>
            </w:pPr>
          </w:p>
        </w:tc>
        <w:tc>
          <w:tcPr>
            <w:tcW w:w="1015" w:type="dxa"/>
            <w:shd w:val="clear" w:color="auto" w:fill="auto"/>
            <w:vAlign w:val="bottom"/>
          </w:tcPr>
          <w:p w:rsidR="005450DF" w:rsidRDefault="005450DF">
            <w:pPr>
              <w:rPr>
                <w:rFonts w:ascii="Arial" w:hAnsi="Arial" w:cs="Arial"/>
                <w:color w:val="000000"/>
                <w:sz w:val="20"/>
                <w:szCs w:val="20"/>
              </w:rPr>
            </w:pPr>
          </w:p>
        </w:tc>
        <w:tc>
          <w:tcPr>
            <w:tcW w:w="1818" w:type="dxa"/>
            <w:shd w:val="clear" w:color="auto" w:fill="auto"/>
            <w:vAlign w:val="bottom"/>
          </w:tcPr>
          <w:p w:rsidR="005450DF" w:rsidRDefault="005450DF">
            <w:pPr>
              <w:rPr>
                <w:rFonts w:ascii="Arial" w:hAnsi="Arial" w:cs="Arial"/>
                <w:color w:val="000000"/>
                <w:sz w:val="20"/>
                <w:szCs w:val="20"/>
              </w:rPr>
            </w:pPr>
          </w:p>
        </w:tc>
      </w:tr>
      <w:tr w:rsidR="005450DF">
        <w:trPr>
          <w:trHeight w:val="720"/>
        </w:trPr>
        <w:tc>
          <w:tcPr>
            <w:tcW w:w="15734" w:type="dxa"/>
            <w:gridSpan w:val="16"/>
            <w:shd w:val="clear" w:color="auto" w:fill="FFFFFF"/>
            <w:vAlign w:val="center"/>
          </w:tcPr>
          <w:p w:rsidR="005450DF" w:rsidRDefault="00660093">
            <w:pPr>
              <w:widowControl/>
              <w:jc w:val="center"/>
              <w:textAlignment w:val="center"/>
              <w:rPr>
                <w:rFonts w:ascii="宋体" w:eastAsia="宋体" w:hAnsi="宋体" w:cs="宋体"/>
                <w:b/>
                <w:color w:val="000000"/>
                <w:sz w:val="40"/>
                <w:szCs w:val="40"/>
              </w:rPr>
            </w:pPr>
            <w:r>
              <w:rPr>
                <w:rFonts w:ascii="宋体" w:eastAsia="宋体" w:hAnsi="宋体" w:cs="宋体" w:hint="eastAsia"/>
                <w:b/>
                <w:color w:val="000000"/>
                <w:kern w:val="0"/>
                <w:sz w:val="40"/>
                <w:szCs w:val="40"/>
                <w:lang w:bidi="ar"/>
              </w:rPr>
              <w:t>财政拨款“三公”经费支出预算表</w:t>
            </w:r>
          </w:p>
        </w:tc>
      </w:tr>
      <w:tr w:rsidR="005450DF">
        <w:trPr>
          <w:trHeight w:val="345"/>
        </w:trPr>
        <w:tc>
          <w:tcPr>
            <w:tcW w:w="1886" w:type="dxa"/>
            <w:shd w:val="clear" w:color="auto" w:fill="auto"/>
            <w:vAlign w:val="bottom"/>
          </w:tcPr>
          <w:p w:rsidR="005450DF" w:rsidRDefault="005450DF">
            <w:pPr>
              <w:rPr>
                <w:rFonts w:ascii="宋体" w:eastAsia="宋体" w:hAnsi="宋体" w:cs="宋体"/>
                <w:color w:val="000000"/>
                <w:sz w:val="22"/>
              </w:rPr>
            </w:pPr>
          </w:p>
        </w:tc>
        <w:tc>
          <w:tcPr>
            <w:tcW w:w="802" w:type="dxa"/>
            <w:shd w:val="clear" w:color="auto" w:fill="auto"/>
            <w:vAlign w:val="center"/>
          </w:tcPr>
          <w:p w:rsidR="005450DF" w:rsidRDefault="005450DF">
            <w:pPr>
              <w:jc w:val="center"/>
              <w:rPr>
                <w:rFonts w:ascii="宋体" w:eastAsia="宋体" w:hAnsi="宋体" w:cs="宋体"/>
                <w:color w:val="000000"/>
                <w:sz w:val="22"/>
              </w:rPr>
            </w:pPr>
          </w:p>
        </w:tc>
        <w:tc>
          <w:tcPr>
            <w:tcW w:w="854" w:type="dxa"/>
            <w:shd w:val="clear" w:color="auto" w:fill="auto"/>
            <w:vAlign w:val="center"/>
          </w:tcPr>
          <w:p w:rsidR="005450DF" w:rsidRDefault="005450DF">
            <w:pPr>
              <w:jc w:val="center"/>
              <w:rPr>
                <w:rFonts w:ascii="宋体" w:eastAsia="宋体" w:hAnsi="宋体" w:cs="宋体"/>
                <w:color w:val="000000"/>
                <w:sz w:val="22"/>
              </w:rPr>
            </w:pPr>
          </w:p>
        </w:tc>
        <w:tc>
          <w:tcPr>
            <w:tcW w:w="854" w:type="dxa"/>
            <w:shd w:val="clear" w:color="auto" w:fill="auto"/>
            <w:vAlign w:val="center"/>
          </w:tcPr>
          <w:p w:rsidR="005450DF" w:rsidRDefault="005450DF">
            <w:pPr>
              <w:jc w:val="center"/>
              <w:rPr>
                <w:rFonts w:ascii="宋体" w:eastAsia="宋体" w:hAnsi="宋体" w:cs="宋体"/>
                <w:color w:val="000000"/>
                <w:sz w:val="22"/>
              </w:rPr>
            </w:pPr>
          </w:p>
        </w:tc>
        <w:tc>
          <w:tcPr>
            <w:tcW w:w="725" w:type="dxa"/>
            <w:shd w:val="clear" w:color="auto" w:fill="auto"/>
            <w:vAlign w:val="center"/>
          </w:tcPr>
          <w:p w:rsidR="005450DF" w:rsidRDefault="005450DF">
            <w:pPr>
              <w:jc w:val="center"/>
              <w:rPr>
                <w:rFonts w:ascii="宋体" w:eastAsia="宋体" w:hAnsi="宋体" w:cs="宋体"/>
                <w:color w:val="000000"/>
                <w:sz w:val="22"/>
              </w:rPr>
            </w:pPr>
          </w:p>
        </w:tc>
        <w:tc>
          <w:tcPr>
            <w:tcW w:w="828" w:type="dxa"/>
            <w:shd w:val="clear" w:color="auto" w:fill="auto"/>
            <w:vAlign w:val="center"/>
          </w:tcPr>
          <w:p w:rsidR="005450DF" w:rsidRDefault="005450DF">
            <w:pPr>
              <w:jc w:val="center"/>
              <w:rPr>
                <w:rFonts w:ascii="宋体" w:eastAsia="宋体" w:hAnsi="宋体" w:cs="宋体"/>
                <w:color w:val="000000"/>
                <w:sz w:val="22"/>
              </w:rPr>
            </w:pPr>
          </w:p>
        </w:tc>
        <w:tc>
          <w:tcPr>
            <w:tcW w:w="724" w:type="dxa"/>
            <w:shd w:val="clear" w:color="auto" w:fill="auto"/>
            <w:vAlign w:val="center"/>
          </w:tcPr>
          <w:p w:rsidR="005450DF" w:rsidRDefault="005450DF">
            <w:pPr>
              <w:jc w:val="center"/>
              <w:rPr>
                <w:rFonts w:ascii="宋体" w:eastAsia="宋体" w:hAnsi="宋体" w:cs="宋体"/>
                <w:color w:val="000000"/>
                <w:sz w:val="22"/>
              </w:rPr>
            </w:pPr>
          </w:p>
        </w:tc>
        <w:tc>
          <w:tcPr>
            <w:tcW w:w="925" w:type="dxa"/>
            <w:shd w:val="clear" w:color="auto" w:fill="auto"/>
            <w:vAlign w:val="center"/>
          </w:tcPr>
          <w:p w:rsidR="005450DF" w:rsidRDefault="005450DF">
            <w:pPr>
              <w:jc w:val="center"/>
              <w:rPr>
                <w:rFonts w:ascii="宋体" w:eastAsia="宋体" w:hAnsi="宋体" w:cs="宋体"/>
                <w:color w:val="000000"/>
                <w:sz w:val="22"/>
              </w:rPr>
            </w:pPr>
          </w:p>
        </w:tc>
        <w:tc>
          <w:tcPr>
            <w:tcW w:w="796" w:type="dxa"/>
            <w:shd w:val="clear" w:color="auto" w:fill="auto"/>
            <w:vAlign w:val="center"/>
          </w:tcPr>
          <w:p w:rsidR="005450DF" w:rsidRDefault="005450DF">
            <w:pPr>
              <w:jc w:val="center"/>
              <w:rPr>
                <w:rFonts w:ascii="宋体" w:eastAsia="宋体" w:hAnsi="宋体" w:cs="宋体"/>
                <w:color w:val="000000"/>
                <w:sz w:val="22"/>
              </w:rPr>
            </w:pPr>
          </w:p>
        </w:tc>
        <w:tc>
          <w:tcPr>
            <w:tcW w:w="893" w:type="dxa"/>
            <w:shd w:val="clear" w:color="auto" w:fill="auto"/>
            <w:vAlign w:val="center"/>
          </w:tcPr>
          <w:p w:rsidR="005450DF" w:rsidRDefault="005450DF">
            <w:pPr>
              <w:jc w:val="center"/>
              <w:rPr>
                <w:rFonts w:ascii="宋体" w:eastAsia="宋体" w:hAnsi="宋体" w:cs="宋体"/>
                <w:color w:val="000000"/>
                <w:sz w:val="22"/>
              </w:rPr>
            </w:pPr>
          </w:p>
        </w:tc>
        <w:tc>
          <w:tcPr>
            <w:tcW w:w="834" w:type="dxa"/>
            <w:shd w:val="clear" w:color="auto" w:fill="auto"/>
            <w:vAlign w:val="center"/>
          </w:tcPr>
          <w:p w:rsidR="005450DF" w:rsidRDefault="005450DF">
            <w:pPr>
              <w:jc w:val="center"/>
              <w:rPr>
                <w:rFonts w:ascii="宋体" w:eastAsia="宋体" w:hAnsi="宋体" w:cs="宋体"/>
                <w:color w:val="000000"/>
                <w:sz w:val="22"/>
              </w:rPr>
            </w:pPr>
          </w:p>
        </w:tc>
        <w:tc>
          <w:tcPr>
            <w:tcW w:w="924" w:type="dxa"/>
            <w:tcBorders>
              <w:bottom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44" w:type="dxa"/>
            <w:tcBorders>
              <w:bottom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shd w:val="clear" w:color="auto" w:fill="auto"/>
            <w:vAlign w:val="bottom"/>
          </w:tcPr>
          <w:p w:rsidR="005450DF" w:rsidRDefault="005450DF">
            <w:pPr>
              <w:rPr>
                <w:rFonts w:ascii="Arial" w:hAnsi="Arial" w:cs="Arial"/>
                <w:color w:val="000000"/>
                <w:sz w:val="20"/>
                <w:szCs w:val="20"/>
              </w:rPr>
            </w:pPr>
          </w:p>
        </w:tc>
        <w:tc>
          <w:tcPr>
            <w:tcW w:w="1015" w:type="dxa"/>
            <w:shd w:val="clear" w:color="auto" w:fill="auto"/>
            <w:vAlign w:val="bottom"/>
          </w:tcPr>
          <w:p w:rsidR="005450DF" w:rsidRDefault="005450DF">
            <w:pPr>
              <w:rPr>
                <w:rFonts w:ascii="Arial" w:hAnsi="Arial" w:cs="Arial"/>
                <w:color w:val="000000"/>
                <w:sz w:val="20"/>
                <w:szCs w:val="20"/>
              </w:rPr>
            </w:pPr>
          </w:p>
        </w:tc>
        <w:tc>
          <w:tcPr>
            <w:tcW w:w="1818" w:type="dxa"/>
            <w:tcBorders>
              <w:bottom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5450DF">
        <w:trPr>
          <w:trHeight w:val="405"/>
        </w:trPr>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上年预算数</w:t>
            </w: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上年执行数</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本年预算数</w:t>
            </w:r>
          </w:p>
        </w:tc>
        <w:tc>
          <w:tcPr>
            <w:tcW w:w="27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本年预算比上年预算增减情况</w:t>
            </w:r>
          </w:p>
        </w:tc>
        <w:tc>
          <w:tcPr>
            <w:tcW w:w="3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本年预算比上年执行数增减情况</w:t>
            </w:r>
          </w:p>
        </w:tc>
      </w:tr>
      <w:tr w:rsidR="005450DF">
        <w:trPr>
          <w:trHeight w:val="360"/>
        </w:trPr>
        <w:tc>
          <w:tcPr>
            <w:tcW w:w="1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政府性基金拨款</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政府性基金拨款</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893" w:type="dxa"/>
            <w:vMerge w:val="restart"/>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政府性基金拨款</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政府性基金拨款</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一般公共预算拨款</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政府性基金拨款</w:t>
            </w:r>
          </w:p>
        </w:tc>
      </w:tr>
      <w:tr w:rsidR="005450DF">
        <w:trPr>
          <w:trHeight w:val="600"/>
        </w:trPr>
        <w:tc>
          <w:tcPr>
            <w:tcW w:w="1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893" w:type="dxa"/>
            <w:vMerge/>
            <w:shd w:val="clear" w:color="auto" w:fill="auto"/>
            <w:vAlign w:val="center"/>
          </w:tcPr>
          <w:p w:rsidR="005450DF" w:rsidRDefault="005450DF">
            <w:pPr>
              <w:jc w:val="center"/>
              <w:rPr>
                <w:rFonts w:ascii="宋体" w:eastAsia="宋体" w:hAnsi="宋体" w:cs="宋体"/>
                <w:color w:val="000000"/>
                <w:sz w:val="22"/>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0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center"/>
              <w:rPr>
                <w:rFonts w:ascii="宋体" w:eastAsia="宋体" w:hAnsi="宋体" w:cs="宋体"/>
                <w:color w:val="000000"/>
                <w:sz w:val="22"/>
              </w:rPr>
            </w:pPr>
          </w:p>
        </w:tc>
      </w:tr>
      <w:tr w:rsidR="005450DF">
        <w:trPr>
          <w:trHeight w:val="435"/>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r>
      <w:tr w:rsidR="005450DF">
        <w:trPr>
          <w:trHeight w:val="39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284.80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284.80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r>
      <w:tr w:rsidR="005450DF">
        <w:trPr>
          <w:trHeight w:val="39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、因公出国境费</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284.80</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284.80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284.80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r>
      <w:tr w:rsidR="005450DF">
        <w:trPr>
          <w:trHeight w:val="30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、公务接待费</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r>
      <w:tr w:rsidR="005450DF">
        <w:trPr>
          <w:trHeight w:val="54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、公务用车购置及运行费</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rPr>
                <w:rFonts w:ascii="宋体" w:eastAsia="宋体" w:hAnsi="宋体" w:cs="宋体"/>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b/>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r>
      <w:tr w:rsidR="005450DF">
        <w:trPr>
          <w:trHeight w:val="57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22"/>
              </w:rPr>
            </w:pPr>
            <w:r>
              <w:rPr>
                <w:rFonts w:ascii="Calibri" w:eastAsia="宋体" w:hAnsi="Calibri" w:cs="Calibri"/>
                <w:color w:val="000000"/>
                <w:kern w:val="0"/>
                <w:sz w:val="22"/>
                <w:lang w:bidi="ar"/>
              </w:rPr>
              <w:t xml:space="preserve">        </w:t>
            </w:r>
            <w:r>
              <w:rPr>
                <w:rFonts w:ascii="Calibri" w:eastAsia="宋体" w:hAnsi="Calibri" w:cs="Calibri"/>
                <w:color w:val="000000"/>
                <w:kern w:val="0"/>
                <w:sz w:val="22"/>
                <w:lang w:bidi="ar"/>
              </w:rPr>
              <w:t>其中：公务用车运行维护费</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b/>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宋体" w:eastAsia="宋体" w:hAnsi="宋体" w:cs="宋体"/>
                <w:color w:val="000000"/>
                <w:sz w:val="22"/>
              </w:rPr>
            </w:pPr>
          </w:p>
        </w:tc>
      </w:tr>
      <w:tr w:rsidR="005450DF">
        <w:trPr>
          <w:trHeight w:val="570"/>
        </w:trPr>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660093">
            <w:pPr>
              <w:widowControl/>
              <w:jc w:val="left"/>
              <w:textAlignment w:val="center"/>
              <w:rPr>
                <w:rFonts w:ascii="Calibri" w:hAnsi="Calibri" w:cs="Calibri"/>
                <w:color w:val="000000"/>
                <w:sz w:val="22"/>
              </w:rPr>
            </w:pPr>
            <w:r>
              <w:rPr>
                <w:rFonts w:ascii="Calibri" w:eastAsia="宋体" w:hAnsi="Calibri" w:cs="Calibri"/>
                <w:color w:val="000000"/>
                <w:kern w:val="0"/>
                <w:sz w:val="22"/>
                <w:lang w:bidi="ar"/>
              </w:rPr>
              <w:t xml:space="preserve">                     </w:t>
            </w:r>
            <w:r>
              <w:rPr>
                <w:rFonts w:ascii="Calibri" w:eastAsia="宋体" w:hAnsi="Calibri" w:cs="Calibri"/>
                <w:color w:val="000000"/>
                <w:kern w:val="0"/>
                <w:sz w:val="22"/>
                <w:lang w:bidi="ar"/>
              </w:rPr>
              <w:t>公务用车购置费</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0DF" w:rsidRDefault="005450DF">
            <w:pPr>
              <w:rPr>
                <w:rFonts w:ascii="Calibri" w:hAnsi="Calibri" w:cs="Calibri"/>
                <w:color w:val="000000"/>
                <w:sz w:val="22"/>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b/>
                <w:color w:val="000000"/>
                <w:sz w:val="18"/>
                <w:szCs w:val="1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0DF" w:rsidRDefault="005450DF">
            <w:pPr>
              <w:jc w:val="right"/>
              <w:rPr>
                <w:rFonts w:ascii="Calibri" w:hAnsi="Calibri" w:cs="Calibri"/>
                <w:color w:val="000000"/>
                <w:sz w:val="22"/>
              </w:rPr>
            </w:pPr>
          </w:p>
        </w:tc>
      </w:tr>
    </w:tbl>
    <w:p w:rsidR="005450DF" w:rsidRDefault="005450DF">
      <w:pPr>
        <w:tabs>
          <w:tab w:val="left" w:pos="5745"/>
        </w:tabs>
        <w:rPr>
          <w:rFonts w:asciiTheme="minorEastAsia" w:hAnsiTheme="minorEastAsia"/>
          <w:szCs w:val="21"/>
        </w:rPr>
      </w:pPr>
    </w:p>
    <w:sectPr w:rsidR="005450DF">
      <w:pgSz w:w="16838" w:h="11906" w:orient="landscape"/>
      <w:pgMar w:top="567" w:right="567" w:bottom="567" w:left="567" w:header="0" w:footer="0" w:gutter="0"/>
      <w:cols w:space="425"/>
      <w:docGrid w:linePitch="312" w:char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93" w:rsidRDefault="00660093">
      <w:r>
        <w:separator/>
      </w:r>
    </w:p>
  </w:endnote>
  <w:endnote w:type="continuationSeparator" w:id="0">
    <w:p w:rsidR="00660093" w:rsidRDefault="0066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609"/>
    </w:sdtPr>
    <w:sdtEndPr/>
    <w:sdtContent>
      <w:p w:rsidR="005450DF" w:rsidRDefault="00660093">
        <w:pPr>
          <w:pStyle w:val="a5"/>
          <w:jc w:val="center"/>
        </w:pPr>
        <w:r>
          <w:fldChar w:fldCharType="begin"/>
        </w:r>
        <w:r>
          <w:instrText xml:space="preserve"> PAGE   \* MERGEFORMAT </w:instrText>
        </w:r>
        <w:r>
          <w:fldChar w:fldCharType="separate"/>
        </w:r>
        <w:r>
          <w:rPr>
            <w:lang w:val="zh-CN"/>
          </w:rPr>
          <w:t>6</w:t>
        </w:r>
        <w:r>
          <w:rPr>
            <w:lang w:val="zh-CN"/>
          </w:rPr>
          <w:fldChar w:fldCharType="end"/>
        </w:r>
      </w:p>
    </w:sdtContent>
  </w:sdt>
  <w:p w:rsidR="005450DF" w:rsidRDefault="00545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93" w:rsidRDefault="00660093">
      <w:r>
        <w:separator/>
      </w:r>
    </w:p>
  </w:footnote>
  <w:footnote w:type="continuationSeparator" w:id="0">
    <w:p w:rsidR="00660093" w:rsidRDefault="0066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4818"/>
    <w:multiLevelType w:val="singleLevel"/>
    <w:tmpl w:val="5C404818"/>
    <w:lvl w:ilvl="0">
      <w:start w:val="1"/>
      <w:numFmt w:val="decimal"/>
      <w:suff w:val="nothing"/>
      <w:lvlText w:val="（%1）"/>
      <w:lvlJc w:val="left"/>
    </w:lvl>
  </w:abstractNum>
  <w:abstractNum w:abstractNumId="1" w15:restartNumberingAfterBreak="0">
    <w:nsid w:val="5C78E9A4"/>
    <w:multiLevelType w:val="singleLevel"/>
    <w:tmpl w:val="5C78E9A4"/>
    <w:lvl w:ilvl="0">
      <w:start w:val="1"/>
      <w:numFmt w:val="chineseCounting"/>
      <w:suff w:val="nothing"/>
      <w:lvlText w:val="%1、"/>
      <w:lvlJc w:val="left"/>
    </w:lvl>
  </w:abstractNum>
  <w:abstractNum w:abstractNumId="2" w15:restartNumberingAfterBreak="0">
    <w:nsid w:val="5C7CE409"/>
    <w:multiLevelType w:val="singleLevel"/>
    <w:tmpl w:val="5C7CE409"/>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6"/>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81A8C"/>
    <w:rsid w:val="00000FD1"/>
    <w:rsid w:val="000358CE"/>
    <w:rsid w:val="000409F5"/>
    <w:rsid w:val="00066CD7"/>
    <w:rsid w:val="000704C9"/>
    <w:rsid w:val="00092967"/>
    <w:rsid w:val="00096C25"/>
    <w:rsid w:val="000979D6"/>
    <w:rsid w:val="000A409E"/>
    <w:rsid w:val="000A6B3C"/>
    <w:rsid w:val="000B4050"/>
    <w:rsid w:val="000D2F1B"/>
    <w:rsid w:val="000E5E6B"/>
    <w:rsid w:val="0013417F"/>
    <w:rsid w:val="00166D15"/>
    <w:rsid w:val="00176526"/>
    <w:rsid w:val="001D2A05"/>
    <w:rsid w:val="00202848"/>
    <w:rsid w:val="0025704C"/>
    <w:rsid w:val="00281A8C"/>
    <w:rsid w:val="00292C5D"/>
    <w:rsid w:val="002B31B4"/>
    <w:rsid w:val="002F3905"/>
    <w:rsid w:val="00311468"/>
    <w:rsid w:val="0034034E"/>
    <w:rsid w:val="00346EAE"/>
    <w:rsid w:val="00364456"/>
    <w:rsid w:val="00365FEC"/>
    <w:rsid w:val="0037140A"/>
    <w:rsid w:val="003870C2"/>
    <w:rsid w:val="00392259"/>
    <w:rsid w:val="003B4243"/>
    <w:rsid w:val="003D6B49"/>
    <w:rsid w:val="003D76BA"/>
    <w:rsid w:val="003E4C91"/>
    <w:rsid w:val="004E0F8A"/>
    <w:rsid w:val="005218B1"/>
    <w:rsid w:val="005234A1"/>
    <w:rsid w:val="005346B3"/>
    <w:rsid w:val="005450DF"/>
    <w:rsid w:val="00587FB1"/>
    <w:rsid w:val="00590C50"/>
    <w:rsid w:val="005C2944"/>
    <w:rsid w:val="005F27CB"/>
    <w:rsid w:val="00622936"/>
    <w:rsid w:val="00652E20"/>
    <w:rsid w:val="00660093"/>
    <w:rsid w:val="006632D7"/>
    <w:rsid w:val="006669EC"/>
    <w:rsid w:val="00671E5F"/>
    <w:rsid w:val="00682684"/>
    <w:rsid w:val="00701730"/>
    <w:rsid w:val="00711A35"/>
    <w:rsid w:val="00715561"/>
    <w:rsid w:val="0072459A"/>
    <w:rsid w:val="00730400"/>
    <w:rsid w:val="0074560C"/>
    <w:rsid w:val="00754558"/>
    <w:rsid w:val="00762FAE"/>
    <w:rsid w:val="00763815"/>
    <w:rsid w:val="007A4638"/>
    <w:rsid w:val="007C1B9D"/>
    <w:rsid w:val="007D26E2"/>
    <w:rsid w:val="007D2E89"/>
    <w:rsid w:val="008453C9"/>
    <w:rsid w:val="0086097E"/>
    <w:rsid w:val="008C04B9"/>
    <w:rsid w:val="008C0BDD"/>
    <w:rsid w:val="00914945"/>
    <w:rsid w:val="009E34C3"/>
    <w:rsid w:val="009E532C"/>
    <w:rsid w:val="009E5876"/>
    <w:rsid w:val="009F0CC2"/>
    <w:rsid w:val="009F71C0"/>
    <w:rsid w:val="00A02829"/>
    <w:rsid w:val="00A66253"/>
    <w:rsid w:val="00A71EC7"/>
    <w:rsid w:val="00A91FC2"/>
    <w:rsid w:val="00AB32DD"/>
    <w:rsid w:val="00AC0C8C"/>
    <w:rsid w:val="00AC6C4B"/>
    <w:rsid w:val="00AE21AD"/>
    <w:rsid w:val="00B37104"/>
    <w:rsid w:val="00B451C1"/>
    <w:rsid w:val="00B52905"/>
    <w:rsid w:val="00B66C1F"/>
    <w:rsid w:val="00B82B5F"/>
    <w:rsid w:val="00BA01B8"/>
    <w:rsid w:val="00BA5F35"/>
    <w:rsid w:val="00BD4752"/>
    <w:rsid w:val="00BE2F03"/>
    <w:rsid w:val="00C15CEC"/>
    <w:rsid w:val="00C379E9"/>
    <w:rsid w:val="00C51118"/>
    <w:rsid w:val="00C55F50"/>
    <w:rsid w:val="00C73049"/>
    <w:rsid w:val="00C82C8D"/>
    <w:rsid w:val="00CA5B05"/>
    <w:rsid w:val="00CE7441"/>
    <w:rsid w:val="00D05E5D"/>
    <w:rsid w:val="00D85227"/>
    <w:rsid w:val="00DA297D"/>
    <w:rsid w:val="00DB10A1"/>
    <w:rsid w:val="00DB1506"/>
    <w:rsid w:val="00E655A3"/>
    <w:rsid w:val="00EC012D"/>
    <w:rsid w:val="00F07D5F"/>
    <w:rsid w:val="00F20031"/>
    <w:rsid w:val="00F25D30"/>
    <w:rsid w:val="00F3137E"/>
    <w:rsid w:val="00F86A14"/>
    <w:rsid w:val="00F92769"/>
    <w:rsid w:val="00F94FB6"/>
    <w:rsid w:val="00FB482E"/>
    <w:rsid w:val="00FF38B9"/>
    <w:rsid w:val="00FF6482"/>
    <w:rsid w:val="015944B4"/>
    <w:rsid w:val="016E6ADF"/>
    <w:rsid w:val="01E95194"/>
    <w:rsid w:val="020E3388"/>
    <w:rsid w:val="038D0109"/>
    <w:rsid w:val="045347B7"/>
    <w:rsid w:val="04825C51"/>
    <w:rsid w:val="055A0964"/>
    <w:rsid w:val="06976747"/>
    <w:rsid w:val="080840B4"/>
    <w:rsid w:val="098D6394"/>
    <w:rsid w:val="09AD79CF"/>
    <w:rsid w:val="0B383A68"/>
    <w:rsid w:val="0D640D37"/>
    <w:rsid w:val="0DAE7425"/>
    <w:rsid w:val="0E9141BD"/>
    <w:rsid w:val="0EF064EB"/>
    <w:rsid w:val="0FCC1FBB"/>
    <w:rsid w:val="0FD705B8"/>
    <w:rsid w:val="1085774E"/>
    <w:rsid w:val="10C95AB5"/>
    <w:rsid w:val="10F7590C"/>
    <w:rsid w:val="11DE6E25"/>
    <w:rsid w:val="134449CB"/>
    <w:rsid w:val="151D541C"/>
    <w:rsid w:val="16184333"/>
    <w:rsid w:val="1685668F"/>
    <w:rsid w:val="18470F2F"/>
    <w:rsid w:val="19873267"/>
    <w:rsid w:val="1A6B71C2"/>
    <w:rsid w:val="1C013FD0"/>
    <w:rsid w:val="1E7578EC"/>
    <w:rsid w:val="1EDF3F92"/>
    <w:rsid w:val="202B7B71"/>
    <w:rsid w:val="20F90852"/>
    <w:rsid w:val="215D0E53"/>
    <w:rsid w:val="21B247CC"/>
    <w:rsid w:val="22541B8F"/>
    <w:rsid w:val="226343E8"/>
    <w:rsid w:val="227E74A7"/>
    <w:rsid w:val="229047C6"/>
    <w:rsid w:val="23B652AB"/>
    <w:rsid w:val="245202D7"/>
    <w:rsid w:val="246A756C"/>
    <w:rsid w:val="257C26A0"/>
    <w:rsid w:val="25AE2E8E"/>
    <w:rsid w:val="26442423"/>
    <w:rsid w:val="26741A2D"/>
    <w:rsid w:val="26FB078C"/>
    <w:rsid w:val="296800E4"/>
    <w:rsid w:val="2BBF3AB5"/>
    <w:rsid w:val="2CC63E59"/>
    <w:rsid w:val="2DE651F9"/>
    <w:rsid w:val="2E871ADC"/>
    <w:rsid w:val="2F4C38A8"/>
    <w:rsid w:val="300C1CB2"/>
    <w:rsid w:val="30FA2801"/>
    <w:rsid w:val="312D25E3"/>
    <w:rsid w:val="3207151B"/>
    <w:rsid w:val="320A13AB"/>
    <w:rsid w:val="3358388B"/>
    <w:rsid w:val="33B55EFF"/>
    <w:rsid w:val="348F3C71"/>
    <w:rsid w:val="352D69DC"/>
    <w:rsid w:val="35CB4332"/>
    <w:rsid w:val="36176F25"/>
    <w:rsid w:val="36601A8A"/>
    <w:rsid w:val="36CD746A"/>
    <w:rsid w:val="36FE100D"/>
    <w:rsid w:val="373F30D0"/>
    <w:rsid w:val="379B133A"/>
    <w:rsid w:val="39040E06"/>
    <w:rsid w:val="3C266C1F"/>
    <w:rsid w:val="3CFD44C7"/>
    <w:rsid w:val="3DA90BA9"/>
    <w:rsid w:val="3E6A582F"/>
    <w:rsid w:val="3FDF077B"/>
    <w:rsid w:val="3FEE6E33"/>
    <w:rsid w:val="3FEF4CEC"/>
    <w:rsid w:val="400418F1"/>
    <w:rsid w:val="4084770F"/>
    <w:rsid w:val="421270A1"/>
    <w:rsid w:val="42B876A8"/>
    <w:rsid w:val="43467345"/>
    <w:rsid w:val="440E10F0"/>
    <w:rsid w:val="44C2730D"/>
    <w:rsid w:val="44C570E4"/>
    <w:rsid w:val="45450F3F"/>
    <w:rsid w:val="45D976A5"/>
    <w:rsid w:val="47773999"/>
    <w:rsid w:val="481A58FA"/>
    <w:rsid w:val="482F5599"/>
    <w:rsid w:val="48F15886"/>
    <w:rsid w:val="49B47624"/>
    <w:rsid w:val="49D77798"/>
    <w:rsid w:val="4A03419D"/>
    <w:rsid w:val="4A2F7640"/>
    <w:rsid w:val="4A3734EE"/>
    <w:rsid w:val="4C17745E"/>
    <w:rsid w:val="4CD71EB0"/>
    <w:rsid w:val="4D1B592F"/>
    <w:rsid w:val="4D1F7CBE"/>
    <w:rsid w:val="4DB674FE"/>
    <w:rsid w:val="4E590BA3"/>
    <w:rsid w:val="4E8B180C"/>
    <w:rsid w:val="4FC37218"/>
    <w:rsid w:val="4FF77A20"/>
    <w:rsid w:val="50382367"/>
    <w:rsid w:val="50BE4353"/>
    <w:rsid w:val="52356C7B"/>
    <w:rsid w:val="525F0F3E"/>
    <w:rsid w:val="539077F5"/>
    <w:rsid w:val="549B6669"/>
    <w:rsid w:val="552D0065"/>
    <w:rsid w:val="56446FD9"/>
    <w:rsid w:val="570F4DDE"/>
    <w:rsid w:val="57364EA2"/>
    <w:rsid w:val="576B72F7"/>
    <w:rsid w:val="57C01113"/>
    <w:rsid w:val="5A824863"/>
    <w:rsid w:val="5B343066"/>
    <w:rsid w:val="5B3603BB"/>
    <w:rsid w:val="5B5D7AC2"/>
    <w:rsid w:val="5BF628D3"/>
    <w:rsid w:val="5C4A1231"/>
    <w:rsid w:val="5C586C25"/>
    <w:rsid w:val="5C893BE8"/>
    <w:rsid w:val="5CAF5BF3"/>
    <w:rsid w:val="5DA9279E"/>
    <w:rsid w:val="5E143CB6"/>
    <w:rsid w:val="5E6350DD"/>
    <w:rsid w:val="5EAD0880"/>
    <w:rsid w:val="5EFF34E4"/>
    <w:rsid w:val="605A5BD8"/>
    <w:rsid w:val="60FE1DB1"/>
    <w:rsid w:val="61554AF4"/>
    <w:rsid w:val="61A16315"/>
    <w:rsid w:val="62657271"/>
    <w:rsid w:val="629A54DA"/>
    <w:rsid w:val="62C37B66"/>
    <w:rsid w:val="63047A59"/>
    <w:rsid w:val="63D53757"/>
    <w:rsid w:val="63FA55D5"/>
    <w:rsid w:val="64A1305C"/>
    <w:rsid w:val="659E4595"/>
    <w:rsid w:val="667628DB"/>
    <w:rsid w:val="66E50517"/>
    <w:rsid w:val="67F06324"/>
    <w:rsid w:val="6AD81647"/>
    <w:rsid w:val="6B925353"/>
    <w:rsid w:val="6C037B7B"/>
    <w:rsid w:val="6C3B065F"/>
    <w:rsid w:val="6D751CAD"/>
    <w:rsid w:val="6E310A4B"/>
    <w:rsid w:val="6E8F01F5"/>
    <w:rsid w:val="6EC42690"/>
    <w:rsid w:val="6FDF70A4"/>
    <w:rsid w:val="70FD6468"/>
    <w:rsid w:val="71FE34E6"/>
    <w:rsid w:val="720A42AB"/>
    <w:rsid w:val="723F1D00"/>
    <w:rsid w:val="726D6785"/>
    <w:rsid w:val="730931D3"/>
    <w:rsid w:val="7338624D"/>
    <w:rsid w:val="74217D70"/>
    <w:rsid w:val="7496509B"/>
    <w:rsid w:val="74F009B0"/>
    <w:rsid w:val="74FE2D4B"/>
    <w:rsid w:val="75381604"/>
    <w:rsid w:val="758370C0"/>
    <w:rsid w:val="78045495"/>
    <w:rsid w:val="789A238A"/>
    <w:rsid w:val="78B45BD3"/>
    <w:rsid w:val="78D442B9"/>
    <w:rsid w:val="796D709D"/>
    <w:rsid w:val="79A1537F"/>
    <w:rsid w:val="79B802A6"/>
    <w:rsid w:val="7A796C55"/>
    <w:rsid w:val="7B9C1E45"/>
    <w:rsid w:val="7BD15ADB"/>
    <w:rsid w:val="7D0C1F64"/>
    <w:rsid w:val="7DF85C09"/>
    <w:rsid w:val="7ECF158B"/>
    <w:rsid w:val="7FA5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C4AD"/>
  <w15:docId w15:val="{38E2F06B-156B-4602-8446-658EBAB7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2321</Words>
  <Characters>13234</Characters>
  <Application>Microsoft Office Word</Application>
  <DocSecurity>0</DocSecurity>
  <Lines>110</Lines>
  <Paragraphs>31</Paragraphs>
  <ScaleCrop>false</ScaleCrop>
  <Company>内蒙古自立电脑公司</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张琨</cp:lastModifiedBy>
  <cp:revision>32</cp:revision>
  <cp:lastPrinted>2018-05-25T08:47:00Z</cp:lastPrinted>
  <dcterms:created xsi:type="dcterms:W3CDTF">2016-05-16T08:25:00Z</dcterms:created>
  <dcterms:modified xsi:type="dcterms:W3CDTF">2019-03-08T07:15:00Z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